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B35F1">
      <w:pPr>
        <w:adjustRightInd w:val="0"/>
        <w:snapToGrid w:val="0"/>
        <w:spacing w:after="20" w:afterLines="20" w:line="288" w:lineRule="auto"/>
        <w:ind w:firstLine="1961" w:firstLineChars="700"/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</w:pPr>
      <w:bookmarkStart w:id="0" w:name="_GoBack"/>
      <w:r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  <w:t>基于MobileNet的铸件缺陷检测系统</w:t>
      </w:r>
    </w:p>
    <w:bookmarkEnd w:id="0"/>
    <w:p w14:paraId="4A699D62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0EB9B600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铸件表面质检长期依赖人工完成，存在检测效率低、准确率受主观因素影响波动大的问题。为解决该痛点，需开发自动化缺陷检测系统，目标实现≥98% 的检测准确率与实时在线处理。项目基于 Kaggle 开源的 13266 张（实际可用 14696 张）256×256px 铸件表面图像（正常 6274 张 / 缺陷 8422 张）开展，落地后可降低 50% 质检成本、提升 10 倍检测效率。</w:t>
      </w:r>
    </w:p>
    <w:p w14:paraId="4A3F2097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教学目标</w:t>
      </w:r>
    </w:p>
    <w:p w14:paraId="0264F55C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掌握 MobileNetV2 原理、CBAM 注意力机制及迁移学习微调策略；掌握 PyTorch 模型开发、性能评估与推理可视化的工程实现。</w:t>
      </w:r>
    </w:p>
    <w:p w14:paraId="6118CB76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数据集</w:t>
      </w:r>
    </w:p>
    <w:p w14:paraId="2F67FCF0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本项目采用Kaggle 开源铸件表面缺陷检测数据集，专为工业质检二分类任务设计，数据已脱敏、无敏感信息，可直接用于模型训练与验证。</w:t>
      </w:r>
    </w:p>
    <w:p w14:paraId="32C2CE0B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数据规模：共 14,696 张 256×256px JPEG 图像（含数据增强样本）。</w:t>
      </w:r>
    </w:p>
    <w:p w14:paraId="26F06BAF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类别分布：正常样本 6,274 张，缺陷样本 8,422 张，覆盖气孔、划痕、翘曲等典型铸件表面缺陷。</w:t>
      </w:r>
    </w:p>
    <w:p w14:paraId="69EE96C3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划分规则：训练集 90%（13,226 张）、测试集 10%（1,470 张），保证训练与评估数据独立。</w:t>
      </w:r>
    </w:p>
    <w:p w14:paraId="3CBD9310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数据特点：灰度图像、固定分辨率、标注清晰，适配轻量化模型（如 MobileNetV2）训练，满足实时检测需求。</w:t>
      </w:r>
    </w:p>
    <w:p w14:paraId="229ABE4B">
      <w:pPr>
        <w:adjustRightInd/>
        <w:snapToGrid/>
        <w:spacing w:after="0" w:afterLines="-2147483648" w:line="240" w:lineRule="auto"/>
        <w:ind w:left="720" w:leftChars="200" w:hanging="240" w:hangingChars="1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数据集获取链接：</w:t>
      </w:r>
    </w:p>
    <w:p w14:paraId="77DEE254">
      <w:pPr>
        <w:adjustRightInd/>
        <w:snapToGrid/>
        <w:spacing w:after="0" w:afterLines="-2147483648" w:line="240" w:lineRule="auto"/>
        <w:ind w:left="720" w:leftChars="200" w:hanging="240" w:hangingChars="1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instrText xml:space="preserve"> HYPERLINK "https://www.kaggle.com/datasets/ravirajsinh45/real-life-industrial-dataset-of-casting-product" </w:instrTex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separate"/>
      </w:r>
      <w:r>
        <w:rPr>
          <w:rStyle w:val="6"/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https://www.kaggle.com/datasets/ravirajsinh45/real-life-industrial-dataset-of-casting-product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end"/>
      </w:r>
    </w:p>
    <w:p w14:paraId="705404AC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实施指南</w:t>
      </w:r>
    </w:p>
    <w:p w14:paraId="5F03F26C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安装PyTorch、torchvision、matplotlib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等依赖。</w:t>
      </w:r>
    </w:p>
    <w:p w14:paraId="3B0E3CB6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数据加载与预处理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将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训练集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进行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随机翻转、旋转、色彩抖动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，将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验证测试集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进行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标准化预处理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创建ImageFolder数据集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配置DataLoader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7A8E2333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模型初始化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加载预训练MobileNetV2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冻结backbone权重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替换分类头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4C0EAA35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基础训练管道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定义train_epoch()和validate()函数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配置优化器Adam和学习率调度StepLR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搭建训练循环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实现最佳模型保存和断点续训</w:t>
      </w:r>
    </w:p>
    <w:p w14:paraId="2DEED531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模型微调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解冻backbone最后2层卷积块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配置低学习率（lr=1e-4）微调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运行10个epoch训练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记录损失和准确率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0F67070A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结果评估与可视化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绘制训练/验证损失和准确率对比曲线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可视化8个推理样本结果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pPr>
        <w:ind w:left="1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74553"/>
    <w:rsid w:val="61725F0A"/>
    <w:rsid w:val="7277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8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1 Char"/>
    <w:link w:val="2"/>
    <w:qFormat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8">
    <w:name w:val="副标题 字符"/>
    <w:basedOn w:val="5"/>
    <w:link w:val="3"/>
    <w:qFormat/>
    <w:uiPriority w:val="11"/>
    <w:rPr>
      <w:rFonts w:ascii="微软雅黑" w:hAnsi="微软雅黑"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2026-02-09T10:11:00Z</dcterms:created>
  <dc:creator>云中惊雷起</dc:creator>
  <cp:lastModifiedBy>云中惊雷起</cp:lastModifiedBy>
  <dcterms:modified xsi:type="dcterms:W3CDTF">2026-02-09T13:38:25Z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3574CF170A3B49C1A18DAF58CE90E701_11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