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65F892">
      <w:pPr>
        <w:pStyle w:val="3"/>
        <w:ind w:firstLine="0" w:firstLineChars="0"/>
        <w:rPr>
          <w:rFonts w:hint="eastAsia" w:ascii="Times New Roman" w:hAnsi="Times New Roman"/>
          <w:b/>
          <w:bCs/>
        </w:rPr>
      </w:pPr>
      <w:r>
        <w:rPr>
          <w:rFonts w:hint="eastAsia" w:ascii="Times New Roman" w:hAnsi="Times New Roman"/>
          <w:b/>
          <w:bCs/>
          <w:lang w:val="en-US" w:eastAsia="zh-CN"/>
        </w:rPr>
        <w:t>VGG-16 轻量化与边缘设备适配</w:t>
      </w:r>
      <w:r>
        <w:rPr>
          <w:rFonts w:hint="eastAsia" w:ascii="Times New Roman" w:hAnsi="Times New Roman"/>
          <w:b/>
          <w:bCs/>
        </w:rPr>
        <w:t>实验</w:t>
      </w:r>
    </w:p>
    <w:p w14:paraId="22999F79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620" w:firstLineChars="200"/>
        <w:jc w:val="both"/>
        <w:outlineLvl w:val="9"/>
        <w:rPr>
          <w:rStyle w:val="6"/>
          <w:rFonts w:hint="eastAsia" w:ascii="Times New Roman" w:hAnsi="Times New Roman"/>
        </w:rPr>
      </w:pPr>
      <w:r>
        <w:rPr>
          <w:rStyle w:val="6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  <w:t>一、案例背景书</w:t>
      </w:r>
    </w:p>
    <w:p w14:paraId="5D117E0F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0" w:firstLineChars="200"/>
        <w:jc w:val="both"/>
        <w:outlineLvl w:val="9"/>
        <w:rPr>
          <w:rFonts w:hint="eastAsia" w:ascii="宋体" w:hAnsi="宋体" w:eastAsia="宋体" w:cs="宋体"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spacing w:val="0"/>
          <w:kern w:val="2"/>
          <w:sz w:val="24"/>
          <w:szCs w:val="22"/>
          <w:lang w:val="en-US" w:eastAsia="zh-CN" w:bidi="ar-SA"/>
        </w:rPr>
        <w:t>本案例面向零售终端与边缘视觉场景：在算力、内存和功耗受限的设备上，需要对服饰图像进行快速分类，用于自助导购、智能货架盘</w:t>
      </w:r>
      <w:bookmarkStart w:id="0" w:name="_GoBack"/>
      <w:bookmarkEnd w:id="0"/>
      <w:r>
        <w:rPr>
          <w:rFonts w:hint="eastAsia" w:ascii="宋体" w:hAnsi="宋体" w:eastAsia="宋体" w:cs="宋体"/>
          <w:spacing w:val="0"/>
          <w:kern w:val="2"/>
          <w:sz w:val="24"/>
          <w:szCs w:val="22"/>
          <w:lang w:val="en-US" w:eastAsia="zh-CN" w:bidi="ar-SA"/>
        </w:rPr>
        <w:t>点和商品识别。实际难点在于经典VGG-16参数量与计算量较大，部署后易出现延迟高、模型体积大、实时性不足的问题。为兼顾精度与效率，案例采用通道缩放、深度可分离卷积和全局池化进行轻量化改造。数据来源为FashionMNIST公开数据集（项目本地data目录），包含10类服饰的训练与测试样本。</w:t>
      </w:r>
    </w:p>
    <w:p w14:paraId="7C59561B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620" w:firstLineChars="200"/>
        <w:jc w:val="both"/>
        <w:outlineLvl w:val="9"/>
        <w:rPr>
          <w:rStyle w:val="6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</w:pPr>
      <w:r>
        <w:rPr>
          <w:rStyle w:val="6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  <w:t>二、教学目标</w:t>
      </w:r>
    </w:p>
    <w:p w14:paraId="7DE33EBC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0" w:firstLineChars="200"/>
        <w:jc w:val="both"/>
        <w:outlineLvl w:val="9"/>
        <w:rPr>
          <w:rFonts w:hint="eastAsia" w:ascii="宋体" w:hAnsi="宋体" w:eastAsia="宋体" w:cs="宋体"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spacing w:val="0"/>
          <w:kern w:val="2"/>
          <w:sz w:val="24"/>
          <w:szCs w:val="22"/>
          <w:lang w:val="en-US" w:eastAsia="zh-CN" w:bidi="ar-SA"/>
        </w:rPr>
        <w:t>完成本案例后，学生可掌握VGG-16轻量化设计（通道缩放、深度可分离卷积、全局池化）、图像分类训练与评估流程，并熟练使用PyTorch、torchvision、NumPy与Matplotlib完成建模、可视化和结果分析。</w:t>
      </w:r>
    </w:p>
    <w:p w14:paraId="192F846A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620" w:firstLineChars="200"/>
        <w:jc w:val="both"/>
        <w:outlineLvl w:val="9"/>
        <w:rPr>
          <w:rStyle w:val="6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</w:pPr>
      <w:r>
        <w:rPr>
          <w:rStyle w:val="6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  <w:t>三、数据集</w:t>
      </w:r>
    </w:p>
    <w:p w14:paraId="1DD62C90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0" w:firstLineChars="200"/>
        <w:jc w:val="both"/>
        <w:outlineLvl w:val="9"/>
        <w:rPr>
          <w:rFonts w:hint="eastAsia" w:ascii="宋体" w:hAnsi="宋体" w:eastAsia="宋体" w:cs="宋体"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spacing w:val="0"/>
          <w:kern w:val="2"/>
          <w:sz w:val="24"/>
          <w:szCs w:val="22"/>
          <w:lang w:val="en-US" w:eastAsia="zh-CN" w:bidi="ar-SA"/>
        </w:rPr>
        <w:t>本案例采用 FashionMNIST 公开数据集进行服饰图像分类实验。该数据集共 70,000 张单通道灰度图像，划分为 60,000 张训练样本与 10,000 张测试样本，覆盖 T-shirt/top、Trouser、Pullover、Dress、Coat、Sandal、Shirt、Sneaker、Bag、Ankle boot 共 10 个类别。每张图像原始大小为 28×28，具有统一标注、易于复现等优点，常用于替代 MNIST 作为入门级视觉分类基准。相比手写数字识别任务，FashionMNIST 在类别纹理、轮廓和局部细节上更具挑战性，能够更有效反映模型的特征提取与泛化能力。本项目中，数据从本地目录加载，并通过缩放、归一化、随机裁剪与水平翻转等预处理后输入轻量化 VGG-16 模型。</w:t>
      </w:r>
    </w:p>
    <w:p w14:paraId="77354106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620" w:firstLineChars="200"/>
        <w:jc w:val="both"/>
        <w:outlineLvl w:val="9"/>
        <w:rPr>
          <w:rStyle w:val="6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</w:pPr>
      <w:r>
        <w:rPr>
          <w:rStyle w:val="6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  <w:t>四、实施指南</w:t>
      </w:r>
    </w:p>
    <w:p w14:paraId="62479A8A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2" w:firstLineChars="200"/>
        <w:jc w:val="both"/>
        <w:outlineLvl w:val="9"/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spacing w:val="0"/>
          <w:kern w:val="2"/>
          <w:sz w:val="24"/>
          <w:szCs w:val="22"/>
          <w:lang w:val="en-US" w:eastAsia="zh-CN" w:bidi="ar-SA"/>
        </w:rPr>
        <w:t>1.明确任务与评价指标：</w:t>
      </w:r>
      <w:r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  <w:t>先说清楚“10类服饰分类”目标，并约定主要看测试准确率与损失曲线。</w:t>
      </w:r>
    </w:p>
    <w:p w14:paraId="3CBB62F0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2" w:firstLineChars="200"/>
        <w:jc w:val="both"/>
        <w:outlineLvl w:val="9"/>
        <w:rPr>
          <w:rFonts w:hint="eastAsia" w:ascii="Times New Roman" w:hAnsi="Times New Roman" w:eastAsia="宋体" w:cstheme="minorBidi"/>
          <w:b/>
          <w:bCs/>
          <w:snapToGrid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spacing w:val="0"/>
          <w:kern w:val="2"/>
          <w:sz w:val="24"/>
          <w:szCs w:val="22"/>
          <w:lang w:val="en-US" w:eastAsia="zh-CN" w:bidi="ar-SA"/>
        </w:rPr>
        <w:t>2.检查环境与依赖：</w:t>
      </w:r>
      <w:r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  <w:t>确认深度学习框架、数据处理与可视化库可正常导入，再固定随机种子保证可复现。</w:t>
      </w:r>
    </w:p>
    <w:p w14:paraId="0916F029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2" w:firstLineChars="200"/>
        <w:jc w:val="both"/>
        <w:outlineLvl w:val="9"/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spacing w:val="0"/>
          <w:kern w:val="2"/>
          <w:sz w:val="24"/>
          <w:szCs w:val="22"/>
          <w:lang w:val="en-US" w:eastAsia="zh-CN" w:bidi="ar-SA"/>
        </w:rPr>
        <w:t>3.完成数据准备：</w:t>
      </w:r>
      <w:r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  <w:t>加载训练集/测试集，观察类别分布与样本图像，确认输入尺寸、归一化和增强策略是否合理。</w:t>
      </w:r>
    </w:p>
    <w:p w14:paraId="0F4AA4F2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2" w:firstLineChars="200"/>
        <w:jc w:val="both"/>
        <w:outlineLvl w:val="9"/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spacing w:val="0"/>
          <w:kern w:val="2"/>
          <w:sz w:val="24"/>
          <w:szCs w:val="22"/>
          <w:lang w:val="en-US" w:eastAsia="zh-CN" w:bidi="ar-SA"/>
        </w:rPr>
        <w:t>4.搭建基线模型：</w:t>
      </w:r>
      <w:r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  <w:t>先用标准卷积结构跑通一次前向与训练，记录参数量、体积和首轮结果。</w:t>
      </w:r>
    </w:p>
    <w:p w14:paraId="536521F9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2" w:firstLineChars="200"/>
        <w:jc w:val="both"/>
        <w:outlineLvl w:val="9"/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spacing w:val="0"/>
          <w:kern w:val="2"/>
          <w:sz w:val="24"/>
          <w:szCs w:val="22"/>
          <w:lang w:val="en-US" w:eastAsia="zh-CN" w:bidi="ar-SA"/>
        </w:rPr>
        <w:t>5.实施轻量化改造：</w:t>
      </w:r>
      <w:r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  <w:t>按“通道缩放→深度可分离卷积→全局池化”逐项加入，每加一项就做一次对比实验。</w:t>
      </w:r>
    </w:p>
    <w:p w14:paraId="374BCF5A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2" w:firstLineChars="200"/>
        <w:jc w:val="both"/>
        <w:outlineLvl w:val="9"/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spacing w:val="0"/>
          <w:kern w:val="2"/>
          <w:sz w:val="24"/>
          <w:szCs w:val="22"/>
          <w:lang w:val="en-US" w:eastAsia="zh-CN" w:bidi="ar-SA"/>
        </w:rPr>
        <w:t>6.执行训练与验证：</w:t>
      </w:r>
      <w:r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  <w:t>按固定轮次训练，逐轮记录训练/测试损失、准确率和学习率变化。</w:t>
      </w:r>
    </w:p>
    <w:p w14:paraId="2A8C5779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2" w:firstLineChars="200"/>
        <w:jc w:val="both"/>
        <w:outlineLvl w:val="9"/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spacing w:val="0"/>
          <w:kern w:val="2"/>
          <w:sz w:val="24"/>
          <w:szCs w:val="22"/>
          <w:lang w:val="en-US" w:eastAsia="zh-CN" w:bidi="ar-SA"/>
        </w:rPr>
        <w:t>7.做结果诊断：</w:t>
      </w:r>
      <w:r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  <w:t>结合曲线判断是否过拟合，并尝试数据增强、正则化、标签平滑、学习率调度等改进。</w:t>
      </w:r>
    </w:p>
    <w:p w14:paraId="732369AB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2" w:firstLineChars="200"/>
        <w:jc w:val="both"/>
        <w:outlineLvl w:val="9"/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spacing w:val="0"/>
          <w:kern w:val="2"/>
          <w:sz w:val="24"/>
          <w:szCs w:val="22"/>
          <w:lang w:val="en-US" w:eastAsia="zh-CN" w:bidi="ar-SA"/>
        </w:rPr>
        <w:t>8.开展效率评估：</w:t>
      </w:r>
      <w:r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  <w:t>对比轻量化前后参数量与模型大小，说明“精度-效率”权衡关系。</w:t>
      </w:r>
    </w:p>
    <w:p w14:paraId="697B97DA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2" w:firstLineChars="200"/>
        <w:jc w:val="both"/>
        <w:outlineLvl w:val="9"/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spacing w:val="0"/>
          <w:kern w:val="2"/>
          <w:sz w:val="24"/>
          <w:szCs w:val="22"/>
          <w:lang w:val="en-US" w:eastAsia="zh-CN" w:bidi="ar-SA"/>
        </w:rPr>
        <w:t>9.（可选）做动态量化：</w:t>
      </w:r>
      <w:r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  <w:t>对线性层量化后比较模型体积变化，讨论边缘部署价值。</w:t>
      </w:r>
    </w:p>
    <w:p w14:paraId="02F8895F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2" w:firstLineChars="200"/>
        <w:jc w:val="both"/>
        <w:outlineLvl w:val="9"/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spacing w:val="0"/>
          <w:kern w:val="2"/>
          <w:sz w:val="24"/>
          <w:szCs w:val="22"/>
          <w:lang w:val="en-US" w:eastAsia="zh-CN" w:bidi="ar-SA"/>
        </w:rPr>
        <w:t>10.形成实验结论：</w:t>
      </w:r>
      <w:r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  <w:t>总结最有效改动、失败尝试及下一步优化方向。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23017D"/>
    <w:rsid w:val="107F2121"/>
    <w:rsid w:val="1141578E"/>
    <w:rsid w:val="115C42FA"/>
    <w:rsid w:val="11C84BAD"/>
    <w:rsid w:val="16221BBA"/>
    <w:rsid w:val="1D1A6765"/>
    <w:rsid w:val="1E297D4D"/>
    <w:rsid w:val="2123017D"/>
    <w:rsid w:val="30F73365"/>
    <w:rsid w:val="32262752"/>
    <w:rsid w:val="34AD400B"/>
    <w:rsid w:val="363F5D8A"/>
    <w:rsid w:val="4C902D5C"/>
    <w:rsid w:val="4E565B2A"/>
    <w:rsid w:val="557241C5"/>
    <w:rsid w:val="5CF76BF6"/>
    <w:rsid w:val="5DF27318"/>
    <w:rsid w:val="6012222A"/>
    <w:rsid w:val="61800058"/>
    <w:rsid w:val="654C1999"/>
    <w:rsid w:val="73A5057C"/>
    <w:rsid w:val="76954F1D"/>
    <w:rsid w:val="7777375A"/>
    <w:rsid w:val="7A6029D5"/>
    <w:rsid w:val="7E300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ubtitle"/>
    <w:basedOn w:val="1"/>
    <w:next w:val="1"/>
    <w:link w:val="6"/>
    <w:qFormat/>
    <w:uiPriority w:val="11"/>
    <w:pPr>
      <w:spacing w:after="160"/>
      <w:jc w:val="center"/>
    </w:pPr>
    <w:rPr>
      <w:rFonts w:eastAsia="黑体" w:cstheme="majorBidi"/>
      <w:spacing w:val="15"/>
      <w:sz w:val="28"/>
      <w:szCs w:val="28"/>
    </w:rPr>
  </w:style>
  <w:style w:type="paragraph" w:styleId="3">
    <w:name w:val="Title"/>
    <w:basedOn w:val="1"/>
    <w:next w:val="1"/>
    <w:qFormat/>
    <w:uiPriority w:val="10"/>
    <w:pPr>
      <w:spacing w:after="80"/>
      <w:contextualSpacing/>
      <w:jc w:val="center"/>
    </w:pPr>
    <w:rPr>
      <w:rFonts w:eastAsia="黑体" w:cstheme="majorBidi"/>
      <w:spacing w:val="-10"/>
      <w:kern w:val="28"/>
      <w:sz w:val="32"/>
      <w:szCs w:val="56"/>
    </w:rPr>
  </w:style>
  <w:style w:type="character" w:customStyle="1" w:styleId="6">
    <w:name w:val="副标题 字符"/>
    <w:basedOn w:val="5"/>
    <w:link w:val="2"/>
    <w:qFormat/>
    <w:uiPriority w:val="11"/>
    <w:rPr>
      <w:rFonts w:eastAsia="黑体" w:cstheme="majorBidi"/>
      <w:spacing w:val="15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645</Words>
  <Characters>780</Characters>
  <Lines>0</Lines>
  <Paragraphs>0</Paragraphs>
  <TotalTime>8</TotalTime>
  <ScaleCrop>false</ScaleCrop>
  <LinksUpToDate>false</LinksUpToDate>
  <CharactersWithSpaces>799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2026-01-31T02:09:00Z</dcterms:created>
  <dc:creator>彤彤</dc:creator>
  <cp:lastModifiedBy>彤彤</cp:lastModifiedBy>
  <dcterms:modified xsi:type="dcterms:W3CDTF">2026-02-19T12:23:08Z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B8DC2F8DCDAC43A08DC56996305DD44D_13</vt:lpwstr>
  </property>
  <property fmtid="{D5CDD505-2E9C-101B-9397-08002B2CF9AE}" pid="4" name="KSOTemplateDocerSaveRecord">
    <vt:lpwstr>eyJoZGlkIjoiOWQ2NzY5MWQ1NjAyMTE0N2M5MmNiN2RkNDczODk1MWUiLCJ1c2VySWQiOiI4NzA2MjkzNTkifQ==</vt:lpwstr>
  </property>
</Properties>
</file>