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A417E">
      <w:pPr>
        <w:spacing w:line="360" w:lineRule="auto"/>
        <w:jc w:val="center"/>
        <w:rPr>
          <w:rFonts w:hint="eastAsia" w:ascii="Songti SC" w:hAnsi="Songti SC" w:eastAsia="Songti SC" w:cs="Songti SC"/>
          <w:b w:val="0"/>
          <w:sz w:val="44"/>
          <w:szCs w:val="44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 w:themeColor="text1"/>
          <w:spacing w:val="0"/>
          <w:sz w:val="44"/>
          <w:szCs w:val="44"/>
          <w:shd w:val="clear" w:fill="FBFCFF"/>
          <w:lang w:val="en-US" w:eastAsia="zh-CN"/>
          <w14:textFill>
            <w14:solidFill>
              <w14:schemeClr w14:val="tx1"/>
            </w14:solidFill>
          </w14:textFill>
        </w:rPr>
        <w:t>上海中侨职业技术大学</w:t>
      </w:r>
      <w:r>
        <w:rPr>
          <w:rFonts w:hint="eastAsia" w:ascii="Songti SC" w:hAnsi="Songti SC" w:eastAsia="Songti SC" w:cs="Songti SC"/>
          <w:b w:val="0"/>
          <w:sz w:val="44"/>
          <w:szCs w:val="44"/>
        </w:rPr>
        <w:t>人工智能赛道</w:t>
      </w:r>
    </w:p>
    <w:p w14:paraId="1E29C783">
      <w:pPr>
        <w:spacing w:line="360" w:lineRule="auto"/>
        <w:jc w:val="center"/>
        <w:rPr>
          <w:rFonts w:hint="eastAsia" w:ascii="Songti SC" w:hAnsi="Songti SC" w:eastAsia="Songti SC" w:cs="Songti SC"/>
          <w:i w:val="0"/>
          <w:iCs w:val="0"/>
          <w:caps w:val="0"/>
          <w:color w:val="000000" w:themeColor="text1"/>
          <w:spacing w:val="0"/>
          <w:sz w:val="44"/>
          <w:szCs w:val="44"/>
          <w:shd w:val="clear" w:fill="FBFC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ongti SC" w:hAnsi="Songti SC" w:eastAsia="Songti SC" w:cs="Songti SC"/>
          <w:b w:val="0"/>
          <w:sz w:val="44"/>
          <w:szCs w:val="44"/>
        </w:rPr>
        <w:t>脑控视界</w:t>
      </w:r>
      <w:r>
        <w:rPr>
          <w:rFonts w:hint="eastAsia" w:ascii="Songti SC" w:hAnsi="Songti SC" w:eastAsia="Songti SC" w:cs="Songti SC"/>
          <w:i w:val="0"/>
          <w:iCs w:val="0"/>
          <w:caps w:val="0"/>
          <w:color w:val="000000" w:themeColor="text1"/>
          <w:spacing w:val="0"/>
          <w:sz w:val="44"/>
          <w:szCs w:val="44"/>
          <w:shd w:val="clear" w:fill="FBFCFF"/>
          <w:lang w:val="en-US" w:eastAsia="zh-CN"/>
          <w14:textFill>
            <w14:solidFill>
              <w14:schemeClr w14:val="tx1"/>
            </w14:solidFill>
          </w14:textFill>
        </w:rPr>
        <w:t>项目概要</w:t>
      </w:r>
    </w:p>
    <w:p w14:paraId="46ED6789"/>
    <w:p w14:paraId="13A586C4">
      <w:pPr>
        <w:spacing w:line="360" w:lineRule="auto"/>
        <w:ind w:firstLine="640"/>
        <w:rPr>
          <w:rFonts w:hint="eastAsia" w:ascii="Songti SC" w:hAnsi="Songti SC" w:eastAsia="Songti SC" w:cs="Songti SC"/>
          <w:b w:val="0"/>
          <w:sz w:val="28"/>
          <w:szCs w:val="28"/>
        </w:rPr>
      </w:pPr>
      <w:r>
        <w:rPr>
          <w:rFonts w:hint="eastAsia" w:ascii="Songti SC" w:hAnsi="Songti SC" w:eastAsia="Songti SC" w:cs="Songti SC"/>
          <w:b w:val="0"/>
          <w:sz w:val="28"/>
          <w:szCs w:val="28"/>
        </w:rPr>
        <w:t>脑控视界多模态脑机接口VR认知训练系统聚焦注意力训练与专注力提升核心场景，针对传统训练方式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只看行为结果、不感知内在状态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的痛点，依托EEG脑机接口（前额注意力+枕区SSVEP）与眼动追踪、手势识别多模态信号，以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星际任务训练舱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为沉浸式叙事主线，打造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状态感知—视觉定位—意图确认—动作执行—闭环适应—评估沉淀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的完整VR多模态认知训练解决方案，让系统主动适应受试者，而非受试者被动适应设备。</w:t>
      </w:r>
    </w:p>
    <w:p w14:paraId="7D25524A">
      <w:pPr>
        <w:spacing w:line="360" w:lineRule="auto"/>
        <w:ind w:firstLine="640"/>
        <w:rPr>
          <w:rFonts w:hint="eastAsia" w:ascii="Songti SC" w:hAnsi="Songti SC" w:eastAsia="Songti SC" w:cs="Songti SC"/>
          <w:b w:val="0"/>
          <w:sz w:val="28"/>
          <w:szCs w:val="28"/>
        </w:rPr>
      </w:pPr>
      <w:r>
        <w:rPr>
          <w:rFonts w:hint="eastAsia" w:ascii="Songti SC" w:hAnsi="Songti SC" w:eastAsia="Songti SC" w:cs="Songti SC"/>
          <w:b w:val="0"/>
          <w:sz w:val="28"/>
          <w:szCs w:val="28"/>
        </w:rPr>
        <w:t>整机以HTC VIVE Focus Vision头显为视觉呈现核心，搭配博睿康Neusen W无线64导湿电极脑电采集设备（1000Hz/24bit），同帽一次采集前额与枕区、无需通道切换，通过Unity+OpenXR经VIVE Streaming串流输出，Python FastAPI承载融合层与网页数据后端；软件采用注意力TBR（θ/β）与SSVEP FBCCA双范式可解释算法，配合事件驱动意图状态机实现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判定即执行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的低延迟交互，并依据实时表现与注意力状态自动调节训练难度。</w:t>
      </w:r>
    </w:p>
    <w:p w14:paraId="1D20195D">
      <w:pPr>
        <w:spacing w:line="360" w:lineRule="auto"/>
        <w:ind w:firstLine="640"/>
      </w:pPr>
      <w:r>
        <w:rPr>
          <w:rFonts w:hint="eastAsia" w:ascii="Songti SC" w:hAnsi="Songti SC" w:eastAsia="Songti SC" w:cs="Songti SC"/>
          <w:b w:val="0"/>
          <w:sz w:val="28"/>
          <w:szCs w:val="28"/>
        </w:rPr>
        <w:t>系统按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两关卡制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组织训练场景（L1单靶试炼/L2群靶乱斗），头显内零数据元素、数据可视化全走网页后端，训练结束自动生成受试者认知画像与教练报告，可广泛应用于注意力训练、专注力提升、认知能力测评与人机交互教学等场景，推动VR认知训练从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经验驱动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走向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状态驱动+证据沉淀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升级。</w:t>
      </w:r>
      <w:bookmarkStart w:id="0" w:name="_GoBack"/>
      <w:bookmarkEnd w:id="0"/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1772940150086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1772940150086">
    <w:altName w:val="苹方-简"/>
    <w:panose1 w:val="00000000000000000000"/>
    <w:charset w:val="00"/>
    <w:family w:val="auto"/>
    <w:pitch w:val="default"/>
    <w:sig w:usb0="E10002FF" w:usb1="28CFFCFB" w:usb2="00000016" w:usb3="00000000" w:csb0="000400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E7237A"/>
    <w:rsid w:val="3ED611F2"/>
    <w:rsid w:val="78FFD432"/>
    <w:rsid w:val="7EFEEE89"/>
    <w:rsid w:val="EB95B831"/>
    <w:rsid w:val="FDDEE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Tony</cp:lastModifiedBy>
  <dcterms:modified xsi:type="dcterms:W3CDTF">2026-09-08T00:20:40Z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C495BC7EACF12046FCE39E6ABAD868BC_42</vt:lpwstr>
  </property>
</Properties>
</file>