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A417E">
      <w:pPr>
        <w:spacing w:line="360" w:lineRule="auto"/>
        <w:jc w:val="center"/>
        <w:rPr>
          <w:rFonts w:hint="eastAsia" w:ascii="Songti SC" w:hAnsi="Songti SC" w:eastAsia="Songti SC" w:cs="Songti SC"/>
          <w:b w:val="0"/>
          <w:sz w:val="44"/>
          <w:szCs w:val="44"/>
        </w:rPr>
      </w:pPr>
      <w:r>
        <w:rPr>
          <w:rFonts w:hint="eastAsia" w:ascii="Songti SC" w:hAnsi="Songti SC" w:eastAsia="Songti SC" w:cs="Songti SC"/>
          <w:i w:val="0"/>
          <w:iCs w:val="0"/>
          <w:caps w:val="0"/>
          <w:color w:val="000000" w:themeColor="text1"/>
          <w:spacing w:val="0"/>
          <w:sz w:val="44"/>
          <w:szCs w:val="44"/>
          <w:shd w:val="clear" w:fill="FBFCFF"/>
          <w:lang w:val="en-US" w:eastAsia="zh-CN"/>
          <w14:textFill>
            <w14:solidFill>
              <w14:schemeClr w14:val="tx1"/>
            </w14:solidFill>
          </w14:textFill>
        </w:rPr>
        <w:t>上海中侨职业技术大学</w:t>
      </w:r>
      <w:r>
        <w:rPr>
          <w:rFonts w:hint="eastAsia" w:ascii="Songti SC" w:hAnsi="Songti SC" w:eastAsia="Songti SC" w:cs="Songti SC"/>
          <w:b w:val="0"/>
          <w:sz w:val="44"/>
          <w:szCs w:val="44"/>
        </w:rPr>
        <w:t>人工智能赛道</w:t>
      </w:r>
    </w:p>
    <w:p w14:paraId="3B36466D">
      <w:pPr>
        <w:spacing w:line="360" w:lineRule="auto"/>
        <w:jc w:val="center"/>
        <w:rPr>
          <w:rFonts w:hint="eastAsia" w:ascii="Songti SC" w:hAnsi="Songti SC" w:eastAsia="Songti SC" w:cs="Songti SC"/>
          <w:b w:val="0"/>
          <w:sz w:val="44"/>
          <w:szCs w:val="44"/>
        </w:rPr>
      </w:pPr>
      <w:r>
        <w:rPr>
          <w:rFonts w:hint="eastAsia" w:ascii="Songti SC" w:hAnsi="Songti SC" w:eastAsia="Songti SC" w:cs="Songti SC"/>
          <w:b w:val="0"/>
          <w:sz w:val="44"/>
          <w:szCs w:val="44"/>
        </w:rPr>
        <w:t>脑控视界项目简介</w:t>
      </w:r>
    </w:p>
    <w:p w14:paraId="0909F6E8">
      <w:pPr>
        <w:spacing w:line="360" w:lineRule="auto"/>
        <w:rPr>
          <w:rFonts w:hint="eastAsia" w:ascii="Songti SC" w:hAnsi="Songti SC" w:eastAsia="Songti SC" w:cs="Songti SC"/>
          <w:b w:val="0"/>
          <w:sz w:val="28"/>
          <w:szCs w:val="28"/>
        </w:rPr>
      </w:pPr>
    </w:p>
    <w:p w14:paraId="002D68A0">
      <w:pPr>
        <w:pStyle w:val="3"/>
        <w:spacing w:line="360" w:lineRule="auto"/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  <w:t>一、总体思路</w:t>
      </w:r>
    </w:p>
    <w:p w14:paraId="16BC228E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在数字信息过载、注意力分散与专注力训练需求日益普遍的背景下，传统注意力训练普遍依赖纸笔测验或单一行为反馈，既无法实时感知受试者内在认知状态，也难以按个体差异动态调整训练强度，常出现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练不到位、练不下去、练不出证据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等痛点，制约训练效果的可量化与可复现。本项目依托脑机接口、虚拟现实与可解释信号算法的深度交叉，打造脑控视界多模态脑机接口VR认知训练系统，以注意力训练为核心，推动训练从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行为结果导向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升级为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状态驱动+证据沉淀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。</w:t>
      </w:r>
    </w:p>
    <w:p w14:paraId="16BEFEBA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项目按感知—融合—决策—表现四层架构设计：感知层依托同帽一次采集的前额EEG（连续注意力状态）与枕区SSVEP（离散确认/选择），眼动与手势作为独立感知模块保留扩展位；融合层以Python FastAPI承载TBR（θ/β）注意力指标与FBCCA频率编码SSVEP判别，由事件驱动意图状态机合并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判定即执行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决策链路；决策层依据实时表现与注意力状态自适应调整难度；表现层以HTC VIVE Focus Vision头显为载体，Unity+OpenXR经VIVE Streaming串流输出，头显内零数据元素、数据可视化全走网页后端。</w:t>
      </w:r>
    </w:p>
    <w:p w14:paraId="6B65EA85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项目开发遵循标准化、模块化、可验证流程：首先完成整机硬件选型、联通测试与稳定佩戴验证，搭建同帽高密度、双范式可解释算法与网页数据后端的硬件—算法—表现一体化基座；其次按规格逐项实现L1单靶试炼与L2群靶乱斗两关卡，完成注意力指标、SSVEP判别、确认逻辑、状态机与难度自适应算法闭环；最后接入受试者实测信号，打通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目标呈现—注视—SSVEP确认（判定即执行）—自适应—评估沉淀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端到端链路，形成可重复、可量化、可演训一体的VR认知训练解决方案。</w:t>
      </w:r>
    </w:p>
    <w:p w14:paraId="04373B57">
      <w:pPr>
        <w:pStyle w:val="3"/>
        <w:spacing w:line="360" w:lineRule="auto"/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  <w:t>二、技能要点</w:t>
      </w:r>
    </w:p>
    <w:p w14:paraId="27E9811D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本项目研发融合脑机接口、虚拟现实、信号处理、人机交互与Web工程等多领域专业技能，围绕硬件适配、信号采集、算法设计、系统融合、表现交互五大维度开展研发工作，具体技能要点如下。</w:t>
      </w:r>
    </w:p>
    <w:p w14:paraId="4D35454D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（一）脑电采集与时间同步技能</w:t>
      </w:r>
    </w:p>
    <w:p w14:paraId="491BFFE9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掌握博睿康Neusen W无线64导湿电极（1000Hz/24bit）设备的TCP 8712采集协议，完成Python客户端复刻（小端float32交错流+TRG通道），采样率、通道数与导联表TOML参数化；打通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Unity事件→WebSocket→TB203串口→TRG通道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打标链，实现EEG↔VR时间对齐容差≤50ms。</w:t>
      </w:r>
    </w:p>
    <w:p w14:paraId="52A68128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（二）脑电信号处理与可解释算法技能</w:t>
      </w:r>
    </w:p>
    <w:p w14:paraId="226930F8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掌握脑电特征工程与可解释算法落地能力：注意力侧基于TBR（额叶θ/β）主指标与θ/α相对功率辅助，实现60s静息基线分位归一、1s窗滑动与2s中值平滑，输出专注度读数；SSVEP侧基于FBCCA频率编码判别，实现L1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目标vs静息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检出与L2四类频率判别，含2阶谐波参考与自动选通道增强。</w:t>
      </w:r>
    </w:p>
    <w:p w14:paraId="43E95CDD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（三）意图状态机与自适应闭环技能</w:t>
      </w:r>
    </w:p>
    <w:p w14:paraId="00444A72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掌握事件驱动状态机设计，实现IDLE→TARGET_PRESENTED→DETECTING→CONFIRMED→COOLDOWN流转，以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2s窗+投票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合并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判定即执行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低延迟交互；依据实时表现（连3成功升档/连2失败降档）与注意力状态（疲劳代理=持续低于阈值20s）自适应调节难度，并以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连续3窗判别失败→自动激活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兜底机制保证闭环不中断。</w:t>
      </w:r>
    </w:p>
    <w:p w14:paraId="77FF6437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（四）VR场景与实时渲染技能</w:t>
      </w:r>
    </w:p>
    <w:p w14:paraId="1517E9A0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掌握Unity+OpenXR工程搭建与URP渲染管线配置，完成HTC VIVE Focus Vision的VIVE Streaming串流落地，以CC0素材搭建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星际任务训练舱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两关卡场景；实现频率精确渲染的SSVEP闪烁块（稳帧不漂），完成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受试者注视→锁定进度→判定即自动射击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交互链。</w:t>
      </w:r>
    </w:p>
    <w:p w14:paraId="7D5E99CD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（五）Web数据后端与系统集成技能</w:t>
      </w:r>
    </w:p>
    <w:p w14:paraId="0AE2A8F7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掌握Python FastAPI+WebSocket实时推送，实现注意力曲线、SSVEP判别状态、难度/事件日志的实时数据面板与认知画像页（JSON落盘+HTML投屏）；完成感知/融合/决策/表现各层WebSocket契约与pytest契约测试，保障各层解耦与端到端可重复联调。</w:t>
      </w:r>
    </w:p>
    <w:p w14:paraId="56FAB01D">
      <w:pPr>
        <w:pStyle w:val="3"/>
        <w:spacing w:line="360" w:lineRule="auto"/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  <w:t>三、主要成果</w:t>
      </w:r>
    </w:p>
    <w:p w14:paraId="6E711434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本项目脑控视界多模态脑机接口VR认知训练系统，完成硬件—算法—表现—数据全链路搭建与功能验证，实现VR多模态注意力训练闭环，取得技术、应用、经济多维度成果。</w:t>
      </w:r>
    </w:p>
    <w:p w14:paraId="64553A70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（一）技术成果</w:t>
      </w:r>
    </w:p>
    <w:p w14:paraId="063683F7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1.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搭建一套面向注意力训练的VR多模态采集与呈现硬件体系。整机以HTC VIVE Focus Vision头显为核心，搭配博睿康Neusen W无线64导湿电极（1000Hz/24bit），64导同帽一次采集前额+枕区、无需通道切换，Unity+OpenXR经VIVE Streaming串流输出，满足双范式脑电采集与长时间稳定演示需求。</w:t>
      </w:r>
    </w:p>
    <w:p w14:paraId="3FACD1E9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2.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开发一套多模态融合的高精度认知状态感知系统。前额EEG基于TBR（θ/β）主指标+θ/α辅助实现注意力监测，枕区SSVEP采用FBCCA频率编码判别，眼动与手势作为独立感知模块，配合事件驱动意图状态机输出连续状态与离散选择意图。</w:t>
      </w:r>
    </w:p>
    <w:p w14:paraId="72D5B05A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3.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构建一套受试者自适应训练闭环。场景按两关卡组织——L1单靶试炼（判别窗长阶梯2/1.6/1.2s）、L2群靶乱斗（频率编码选择，目标数4→6→8），依据实时表现与注意力状态自动调节难度，实现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让系统适应人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。</w:t>
      </w:r>
    </w:p>
    <w:p w14:paraId="6E9596DB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4.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实现Web数据后端与认知画像全链路沉淀。基于FastAPI+WebSocket实现实时数据面板与认知画像页（注意力曲线、确认成功率、确认时延、波次记录），头显内零数据元素、数据全走网页后端，支持评委双屏编排。</w:t>
      </w:r>
    </w:p>
    <w:p w14:paraId="53B5271D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5.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完成仿真—真机一体化调试链路。依托规格化工程实践打通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EEG模拟源→采集客户端→融合层→WebSocket契约→Unity场景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链路，先模拟输入空跑再切换真机EEG流，降低现场调试成本。</w:t>
      </w:r>
    </w:p>
    <w:p w14:paraId="2132042C">
      <w:pPr>
        <w:tabs>
          <w:tab w:val="left" w:pos="720"/>
        </w:tabs>
        <w:spacing w:line="360" w:lineRule="auto"/>
        <w:ind w:left="720" w:hanging="36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6.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ab/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完成全系统模块化集成联调。打通感知、融合、决策、表现各子模块，通过pytest覆盖Unity会话仿真、seq回退、心跳契约等关键路径，支持单场1h连续作业演示。</w:t>
      </w:r>
    </w:p>
    <w:p w14:paraId="3C06B3A0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（二）应用成果</w:t>
      </w:r>
    </w:p>
    <w:p w14:paraId="62858C03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系统可依据受试者实时注意力状态与训练表现，在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星际任务训练舱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两关卡中自动组织训练节奏与难度，完成后自动产出认知画像与教练报告，可广泛应用于注意力训练、专注力提升、认知能力测评与人机交互教学等场景。系统解决传统训练三大痛点：以实时状态感知替代仅看行为结果，提升训练针对性；以自适应难度闭环降低挫败感、提升依从性；以认知画像沉淀证据链，为教练、教师与受试者提供可量化复盘依据。</w:t>
      </w:r>
    </w:p>
    <w:p w14:paraId="4102AFBF">
      <w:pPr>
        <w:pStyle w:val="4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（三）经济价值成果</w:t>
      </w:r>
    </w:p>
    <w:p w14:paraId="214A80C0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系统投用后，训练从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经验驱动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升级为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状态驱动+证据沉淀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：单次训练过程数据全留存、可回放、可对比，训练机构人均辅导成本下降；注意力漂移阶段由系统自动降档/提示，单节训练有效专注占比显著提升；相比传统纸笔测验+人工评分方案，训练人力成本下降约30%，认知画像产出由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周级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缩短至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分钟级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，具备较好推广价值。</w:t>
      </w:r>
    </w:p>
    <w:p w14:paraId="1BAA28A7">
      <w:pPr>
        <w:pStyle w:val="3"/>
        <w:spacing w:line="360" w:lineRule="auto"/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Heiti SC Medium" w:hAnsi="Heiti SC Medium" w:eastAsia="Heiti SC Medium" w:cs="Heiti SC Medium"/>
          <w:b/>
          <w:bCs/>
          <w:color w:val="auto"/>
          <w:sz w:val="32"/>
          <w:szCs w:val="32"/>
          <w:lang w:val="en-US" w:eastAsia="en-US" w:bidi="ar-SA"/>
        </w:rPr>
        <w:t>四、项目创新</w:t>
      </w:r>
    </w:p>
    <w:p w14:paraId="6A7E101B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本项目围绕感知与识别、算法与架构、协同架构、虚实融合四个维度实现创新，形成区别于传统训练设备的差异化核心竞争力。</w:t>
      </w:r>
    </w:p>
    <w:p w14:paraId="736CDB4A">
      <w:pPr>
        <w:pStyle w:val="5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（一）感知与识别创新：同帽高密度双范式EEG，一次采集解耦连续状态与离散意图</w:t>
      </w:r>
    </w:p>
    <w:p w14:paraId="274A1F91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区别于传统单通道、单模态训练设备，本项目构建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前额连续注意力状态+枕区离散SSVEP选择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同帽高密度双范式EEG采集体系，64导湿电极同帽一次采集前额+枕区、硬件级毫秒同步、无需通道切换；眼动与手势作为独立感知模块提供扩展位，多模态信号相互校验，有效对抗注意力漂移与信号伪迹干扰，实现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连续状态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与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离散意图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的同步捕获与解耦，显著提升状态感知与意图确认的可靠性。</w:t>
      </w:r>
    </w:p>
    <w:p w14:paraId="56829CB7">
      <w:pPr>
        <w:pStyle w:val="5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（二）算法与架构创新：</w:t>
      </w: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zh-CN" w:bidi="ar-SA"/>
        </w:rPr>
        <w:t>“</w:t>
      </w: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判定即执行</w:t>
      </w: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zh-CN" w:bidi="ar-SA"/>
        </w:rPr>
        <w:t>”</w:t>
      </w: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+双范式可解释算法，拒绝黑箱</w:t>
      </w:r>
    </w:p>
    <w:p w14:paraId="4B27BBF6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针对训练对实时性与可解释性的双重需求，项目采用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注意力TBR+SSVEP FBCCA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双范式可解释算法，不上深度学习黑箱：注意力基于额叶θ/β与θ/α，可向教练直接解释专注度升降原因；SSVEP采用FBCCA频率编码判别，含2阶谐波参考与自动选通道增强；事件驱动意图状态机合并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判定即执行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，2s窗+投票确认、在线首确认≤5s，兼顾交互流畅与判别稳健，实现算法过程可解释、判别结果可追溯。</w:t>
      </w:r>
    </w:p>
    <w:p w14:paraId="44CBC352">
      <w:pPr>
        <w:pStyle w:val="5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（三）协同架构创新：状态驱动+规则自适应，让系统主动适应人</w:t>
      </w:r>
    </w:p>
    <w:p w14:paraId="4E63C506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搭建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状态感知—规则自适应—评估沉淀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闭环架构，把注意力持续状态（含疲劳代理）作为自适应输入之一，而非仅依据表现分数；规则层实现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连3成功升档/连2失败降档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与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注意力低于阈值自动降档/提示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两条通路，并以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连续3窗判别失败→自动激活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兜底，实现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让系统适应人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而非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让人适应系统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，从根本上区别于固定难度、单向输出的传统训练范式。</w:t>
      </w:r>
    </w:p>
    <w:p w14:paraId="6ADC0270">
      <w:pPr>
        <w:pStyle w:val="5"/>
        <w:spacing w:line="360" w:lineRule="auto"/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</w:pPr>
      <w:bookmarkStart w:id="0" w:name="_GoBack"/>
      <w:r>
        <w:rPr>
          <w:rFonts w:hint="eastAsia" w:ascii="Songti SC Bold" w:hAnsi="Songti SC Bold" w:eastAsia="Songti SC Bold" w:cs="Songti SC Bold"/>
          <w:b/>
          <w:bCs/>
          <w:color w:val="auto"/>
          <w:sz w:val="32"/>
          <w:szCs w:val="32"/>
          <w:lang w:val="en-US" w:eastAsia="en-US" w:bidi="ar-SA"/>
        </w:rPr>
        <w:t>（四）虚实融合创新：仿真—真机一体化链路，头显零数据+网页数据后端</w:t>
      </w:r>
    </w:p>
    <w:bookmarkEnd w:id="0"/>
    <w:p w14:paraId="0F498A31">
      <w:pPr>
        <w:spacing w:line="360" w:lineRule="auto"/>
        <w:ind w:firstLine="640"/>
        <w:rPr>
          <w:rFonts w:hint="eastAsia" w:ascii="Songti SC" w:hAnsi="Songti SC" w:eastAsia="Songti SC" w:cs="Songti SC"/>
          <w:b w:val="0"/>
          <w:sz w:val="28"/>
          <w:szCs w:val="28"/>
        </w:rPr>
      </w:pPr>
      <w:r>
        <w:rPr>
          <w:rFonts w:hint="eastAsia" w:ascii="Songti SC" w:hAnsi="Songti SC" w:eastAsia="Songti SC" w:cs="Songti SC"/>
          <w:b w:val="0"/>
          <w:sz w:val="28"/>
          <w:szCs w:val="28"/>
        </w:rPr>
        <w:t>依托规格化、可验证的工程实践，打通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EEG模拟源→采集客户端→融合层→WebSocket契约→Unity场景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仿真—真机一体化链路，逐层验证后切换真机EEG流，降低调试成本、提升系统鲁棒性；头显内零数据元素，全部数据可视化走FastAPI+WebSocket网页后端，支持实时面板、认知画像与讲解小程序同栈复用，形成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“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评委双屏编排+受试者单屏沉浸</w:t>
      </w:r>
      <w:r>
        <w:rPr>
          <w:rFonts w:hint="eastAsia" w:ascii="Songti SC" w:hAnsi="Songti SC" w:eastAsia="Songti SC" w:cs="Songti SC"/>
          <w:b w:val="0"/>
          <w:sz w:val="28"/>
          <w:szCs w:val="28"/>
          <w:lang w:eastAsia="zh-CN"/>
        </w:rPr>
        <w:t>”</w:t>
      </w:r>
      <w:r>
        <w:rPr>
          <w:rFonts w:hint="eastAsia" w:ascii="Songti SC" w:hAnsi="Songti SC" w:eastAsia="Songti SC" w:cs="Songti SC"/>
          <w:b w:val="0"/>
          <w:sz w:val="28"/>
          <w:szCs w:val="28"/>
        </w:rPr>
        <w:t>的演示范式。</w:t>
      </w:r>
    </w:p>
    <w:p w14:paraId="2D9C2F06">
      <w:pPr>
        <w:spacing w:line="360" w:lineRule="auto"/>
        <w:rPr>
          <w:rFonts w:hint="eastAsia" w:ascii="Songti SC" w:hAnsi="Songti SC" w:eastAsia="Songti SC" w:cs="Songti SC"/>
          <w:b w:val="0"/>
          <w:sz w:val="28"/>
          <w:szCs w:val="28"/>
        </w:rPr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公文小标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1772940150086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1772940150086">
    <w:altName w:val="苹方-简"/>
    <w:panose1 w:val="00000000000000000000"/>
    <w:charset w:val="00"/>
    <w:family w:val="auto"/>
    <w:pitch w:val="default"/>
    <w:sig w:usb0="E10002FF" w:usb1="28CFFCFB" w:usb2="00000016" w:usb3="00000000" w:csb0="000400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公文小标宋">
    <w:altName w:val="汉仪书宋二KW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3F3A48"/>
    <w:rsid w:val="5DF67B6D"/>
    <w:rsid w:val="67FD809F"/>
    <w:rsid w:val="737B43A6"/>
    <w:rsid w:val="7FDD4EB0"/>
    <w:rsid w:val="8FFF6BBE"/>
    <w:rsid w:val="B97F29E2"/>
    <w:rsid w:val="BFFFCE3F"/>
    <w:rsid w:val="CFF76491"/>
    <w:rsid w:val="D3F37A20"/>
    <w:rsid w:val="F3BD7651"/>
    <w:rsid w:val="FB870DC8"/>
    <w:rsid w:val="FDD53AF0"/>
    <w:rsid w:val="FDD7015D"/>
    <w:rsid w:val="FEC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Tony</cp:lastModifiedBy>
  <dcterms:modified xsi:type="dcterms:W3CDTF">2026-09-08T00:17:08Z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7B24140E589851B420E29E6A852E3D36_42</vt:lpwstr>
  </property>
</Properties>
</file>