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Employee Handbook</w:t>
      </w:r>
    </w:p>
    <w:p>
      <w:pPr>
        <w:pStyle w:val="Heading1"/>
      </w:pPr>
      <w:r>
        <w:t>Learning allowance</w:t>
      </w:r>
    </w:p>
    <w:p>
      <w:r>
        <w:t>Every full-time teammate receives a SGD 1,200 learning allowance each calendar year. Manager approval is required before booking a course.</w:t>
      </w:r>
    </w:p>
    <w:p>
      <w:r>
        <w:br w:type="page"/>
      </w:r>
    </w:p>
    <w:p>
      <w:pPr>
        <w:pStyle w:val="Title"/>
      </w:pPr>
      <w:r>
        <w:t>Time away</w:t>
      </w:r>
    </w:p>
    <w:p>
      <w:pPr>
        <w:pStyle w:val="Heading1"/>
      </w:pPr>
      <w:r>
        <w:t>Annual leave</w:t>
      </w:r>
    </w:p>
    <w:p>
      <w:r>
        <w:t>Employees receive 18 days of annual leave. Submit planned leave in the people portal at least two weeks in advance when possible.</w:t>
      </w:r>
    </w:p>
    <w:p>
      <w:r>
        <w:br w:type="page"/>
      </w:r>
    </w:p>
    <w:p>
      <w:pPr>
        <w:pStyle w:val="Title"/>
      </w:pPr>
      <w:r>
        <w:t>Remote work</w:t>
      </w:r>
    </w:p>
    <w:p>
      <w:pPr>
        <w:pStyle w:val="Heading1"/>
      </w:pPr>
      <w:r>
        <w:t>Home office support</w:t>
      </w:r>
    </w:p>
    <w:p>
      <w:r>
        <w:t>The company reimburses up to SGD 500 for an ergonomic home-office setup. Keep the receipt and submit it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FOR ALL parser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