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Noto Sans CJK SC" w:hAnsi="Noto Sans CJK SC" w:eastAsia="Noto Sans CJK SC" w:cs="Noto Sans CJK SC"/>
          <w:b/>
          <w:color w:val="0A6674"/>
          <w:sz w:val="20"/>
        </w:rPr>
        <w:t>制造业 AI / CAD ENGINEERING</w:t>
      </w:r>
    </w:p>
    <w:p>
      <w:pPr>
        <w:spacing w:before="240"/>
      </w:pPr>
      <w:r>
        <w:rPr>
          <w:rFonts w:ascii="Noto Sans CJK SC" w:hAnsi="Noto Sans CJK SC" w:eastAsia="Noto Sans CJK SC" w:cs="Noto Sans CJK SC"/>
          <w:b/>
          <w:color w:val="183449"/>
          <w:sz w:val="46"/>
        </w:rPr>
        <w:t>模具零部件加工成本评估项目</w:t>
      </w:r>
    </w:p>
    <w:p>
      <w:r>
        <w:rPr>
          <w:rFonts w:ascii="Noto Sans CJK SC" w:hAnsi="Noto Sans CJK SC" w:eastAsia="Noto Sans CJK SC" w:cs="Noto Sans CJK SC"/>
          <w:b/>
          <w:color w:val="0A6674"/>
          <w:sz w:val="38"/>
        </w:rPr>
        <w:t>技术可行性评估与分阶段建设方案</w:t>
      </w:r>
    </w:p>
    <w:p>
      <w:pPr>
        <w:spacing w:before="320"/>
      </w:pPr>
      <w:r>
        <w:rPr>
          <w:rFonts w:ascii="Noto Sans CJK SC" w:hAnsi="Noto Sans CJK SC" w:eastAsia="Noto Sans CJK SC" w:cs="Noto Sans CJK SC"/>
          <w:b w:val="0"/>
          <w:color w:val="24374B"/>
          <w:sz w:val="22"/>
        </w:rPr>
        <w:t>以真实 CAD、历史工艺与工时数据为依据</w:t>
        <w:br/>
        <w:t>从“可读取图纸”到“可审核的报价辅助”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7488"/>
      </w:tblGrid>
      <w:t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EDF5F6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8"/>
              </w:rPr>
              <w:t>文档版本</w:t>
            </w:r>
          </w:p>
        </w:tc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8"/>
              </w:rPr>
              <w:t>V1.0 / 2026年10月15日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EDF5F6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8"/>
              </w:rPr>
              <w:t>文档用途</w:t>
            </w:r>
          </w:p>
        </w:tc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8"/>
              </w:rPr>
              <w:t>技术可行性判断、方案讨论、资源与报价准备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EDF5F6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8"/>
              </w:rPr>
              <w:t>数据覆盖</w:t>
            </w:r>
          </w:p>
        </w:tc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8"/>
              </w:rPr>
              <w:t>CMY1000A冲压模具 + SMX0100注塑模具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EDF5F6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8"/>
              </w:rPr>
              <w:t>文档性质</w:t>
            </w:r>
          </w:p>
        </w:tc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8"/>
              </w:rPr>
              <w:t>甲方沟通草案；以补充数据与联合评审为准</w:t>
            </w:r>
          </w:p>
        </w:tc>
      </w:tr>
    </w:tbl>
    <w:p>
      <w:pPr>
        <w:spacing w:before="520"/>
      </w:pPr>
      <w:r>
        <w:rPr>
          <w:rFonts w:ascii="Noto Sans CJK SC" w:hAnsi="Noto Sans CJK SC" w:eastAsia="Noto Sans CJK SC" w:cs="Noto Sans CJK SC"/>
          <w:b/>
          <w:color w:val="183449"/>
          <w:sz w:val="26"/>
        </w:rPr>
        <w:t>核心判断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现有样本能够支持带证据链的 CAD 解析、图号与历史工艺关联、工序检索和部分电极依赖展示；暂不能据此承诺可靠的自动工艺规划、实际工时预测或端到端自动报价。</w:t>
      </w:r>
    </w:p>
    <w:p>
      <w:r>
        <w:br w:type="page"/>
      </w:r>
    </w:p>
    <w:p>
      <w:pPr>
        <w:pStyle w:val="Heading1"/>
        <w:keepNext/>
      </w:pPr>
      <w:r>
        <w:t>01  管理摘要与建议决策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9"/>
        <w:gridCol w:w="8093"/>
      </w:tblGrid>
      <w:tr>
        <w:tc>
          <w:tcPr>
            <w:tcW w:type="dxa" w:w="4968"/>
            <w:shd w:fill="0A66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建议决策</w:t>
            </w:r>
          </w:p>
        </w:tc>
        <w:tc>
          <w:tcPr>
            <w:tcW w:type="dxa" w:w="4968"/>
            <w:shd w:fill="EDF5F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8"/>
              </w:rPr>
              <w:t>先通过“数据核验 + 可审核的报价辅助”建立可验收闭环；将自动工艺规划、工时预测、自动报价分别列为有数据门槛的可选阶段。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 甲方诉求与业务价值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甲方最终希望批量导入 DWG（必选）和 STEP/STP（可选），自动估算模具零部件的加工成本。甲方曾发生一般公差由两位小数 ±0.002 改为 ±0.01、绘图区不变，导致沿用旧核价 1200 元而实际复核为 500 元的案例，差额 700 元。该例金额及工艺原因源于甲方陈述，尚未收到对应旧版/新版原图、成本明细进行独立核验。</w:t>
      </w:r>
    </w:p>
    <w:p>
      <w:pPr>
        <w:pStyle w:val="Heading2"/>
        <w:keepNext/>
      </w:pPr>
      <w:r>
        <w:t>1.2  已证实与未证实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0"/>
        <w:gridCol w:w="4810"/>
      </w:tblGrid>
      <w:tr>
        <w:trPr>
          <w:tblHeader w:val="true"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已证实的数据能力</w:t>
            </w:r>
          </w:p>
        </w:tc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尚待证实的业务能力</w:t>
            </w:r>
          </w:p>
        </w:tc>
      </w:tr>
      <w:tr>
        <w:tc>
          <w:tcPr>
            <w:tcW w:type="dxa" w:w="48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DWG转换后的 DXF 可读取；识别多图框、多页和工程文字</w:t>
            </w:r>
          </w:p>
        </w:tc>
        <w:tc>
          <w:tcPr>
            <w:tcW w:type="dxa" w:w="48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准确还原每个尺寸的有效公差、一般公差适用范围及版本差异</w:t>
            </w:r>
          </w:p>
        </w:tc>
      </w:tr>
      <w:tr>
        <w:tc>
          <w:tcPr>
            <w:tcW w:type="dxa" w:w="48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图号与历史件号多数可以追溯关联；工序代码全覆盖字典</w:t>
            </w:r>
          </w:p>
        </w:tc>
        <w:tc>
          <w:tcPr>
            <w:tcW w:type="dxa" w:w="48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凭新图纸自动产生正确/优选工艺路线</w:t>
            </w:r>
          </w:p>
        </w:tc>
      </w:tr>
      <w:tr>
        <w:tc>
          <w:tcPr>
            <w:tcW w:type="dxa" w:w="48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原始工序顺序可恢复；F20A可展示电极支线</w:t>
            </w:r>
          </w:p>
        </w:tc>
        <w:tc>
          <w:tcPr>
            <w:tcW w:type="dxa" w:w="48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把工时定额作为实际工时标签训练模型</w:t>
            </w:r>
          </w:p>
        </w:tc>
      </w:tr>
      <w:tr>
        <w:tc>
          <w:tcPr>
            <w:tcW w:type="dxa" w:w="48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建立历史定额查询与分布统计具备条件</w:t>
            </w:r>
          </w:p>
        </w:tc>
        <w:tc>
          <w:tcPr>
            <w:tcW w:type="dxa" w:w="48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自动算出可信的完整成本/报价金额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 建设边界建议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一阶段承诺：CAD信息结构化、图号工艺查询、人工复核与证据定位；版本比较仅在获取真实成对图纸并通过审核后纳入验收。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二阶段验证：相似案例检索、受控工艺候选、工时定额估算基线；须增加独立样本、设备与标注规则。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三阶段有条件建设：实际工时预测、成本计算、受控辅助核价，最后才考虑自动放行。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不将2D自动重建完整3D作为一期前置条件：该研发难度高，且并非验证公差变更或历史工艺检索所必需。</w:t>
      </w:r>
    </w:p>
    <w:p>
      <w:pPr>
        <w:pStyle w:val="Heading1"/>
        <w:keepNext/>
      </w:pPr>
      <w:r>
        <w:t>02  需求基线与项目范围</w:t>
      </w:r>
    </w:p>
    <w:p>
      <w:pPr>
        <w:pStyle w:val="Heading2"/>
        <w:keepNext/>
      </w:pPr>
      <w:r>
        <w:t>2.1  甲方原始资料的定位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《模具零部件加工成本评估需求说明.pdf》属于“业务需求说明 + 概念性技术路线”，不是详细技术规格书或双方确认的开发合同。其第3—4页的2D生成3D、90%匹配、工艺分发及多工时Agent是甲方设想；其中“90%”缺少可计算定义，不能直接作为工程验收标准。</w:t>
      </w:r>
    </w:p>
    <w:p>
      <w:pPr>
        <w:pStyle w:val="Heading2"/>
        <w:keepNext/>
      </w:pPr>
      <w:r>
        <w:t>2.2  需求拆解与优先级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4867"/>
        <w:gridCol w:w="1123"/>
        <w:gridCol w:w="2880"/>
      </w:tblGrid>
      <w:tr>
        <w:trPr>
          <w:tblHeader w:val="true"/>
        </w:trPr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业务能力 / 场景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建议优先级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当前结论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R01</w:t>
            </w:r>
          </w:p>
        </w:tc>
        <w:tc>
          <w:tcPr>
            <w:tcW w:type="dxa" w:w="48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批量接入DWG/DXF、可选STEP，图纸分区及统一身份</w:t>
            </w:r>
          </w:p>
        </w:tc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P0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可开展工程化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R02</w:t>
            </w:r>
          </w:p>
        </w:tc>
        <w:tc>
          <w:tcPr>
            <w:tcW w:type="dxa" w:w="48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材料、硬度、尺寸、显式/一般公差、技术要求提取</w:t>
            </w:r>
          </w:p>
        </w:tc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P0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候选可读取，语义需审核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R03</w:t>
            </w:r>
          </w:p>
        </w:tc>
        <w:tc>
          <w:tcPr>
            <w:tcW w:type="dxa" w:w="48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旧新版图纸变更检测及报价风险提示</w:t>
            </w:r>
          </w:p>
        </w:tc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P0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具备基础，缺版本对样本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R04</w:t>
            </w:r>
          </w:p>
        </w:tc>
        <w:tc>
          <w:tcPr>
            <w:tcW w:type="dxa" w:w="48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按图号检索历史路线、工序名称和定额</w:t>
            </w:r>
          </w:p>
        </w:tc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P0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可开展工程化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R05</w:t>
            </w:r>
          </w:p>
        </w:tc>
        <w:tc>
          <w:tcPr>
            <w:tcW w:type="dxa" w:w="48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电极制造/放电依赖和归属展示</w:t>
            </w:r>
          </w:p>
        </w:tc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P1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F20A案例可验证，需专家规则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R06</w:t>
            </w:r>
          </w:p>
        </w:tc>
        <w:tc>
          <w:tcPr>
            <w:tcW w:type="dxa" w:w="48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相似零件与历史案例推荐</w:t>
            </w:r>
          </w:p>
        </w:tc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P1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需要检索基准与复核集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R07</w:t>
            </w:r>
          </w:p>
        </w:tc>
        <w:tc>
          <w:tcPr>
            <w:tcW w:type="dxa" w:w="48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自动工艺规划、最优路线生成</w:t>
            </w:r>
          </w:p>
        </w:tc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P2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资料不足，不承诺准确率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R08</w:t>
            </w:r>
          </w:p>
        </w:tc>
        <w:tc>
          <w:tcPr>
            <w:tcW w:type="dxa" w:w="48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未知零件工时/实际工时预测</w:t>
            </w:r>
          </w:p>
        </w:tc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P2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仅有定额，缺真实标签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R09</w:t>
            </w:r>
          </w:p>
        </w:tc>
        <w:tc>
          <w:tcPr>
            <w:tcW w:type="dxa" w:w="48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加工成本核算及报价建议</w:t>
            </w:r>
          </w:p>
        </w:tc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P2/P3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无费率/成本规则无法落地</w:t>
            </w:r>
          </w:p>
        </w:tc>
      </w:tr>
      <w:tr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R10</w:t>
            </w:r>
          </w:p>
        </w:tc>
        <w:tc>
          <w:tcPr>
            <w:tcW w:type="dxa" w:w="486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2D自动重建3D及2D/3D自动匹配</w:t>
            </w:r>
          </w:p>
        </w:tc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专项R&amp;D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仅有少量配对基础，未验证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 成本、报价、工时必须分开定义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工时定额≠现场实际工时；制造成本≠商业报价。建议明确：单件还是批量、标准定额或报工、准备/换刀/装夹/检验、材料毛坯、外协、热处理周期、设备/人工费率、损耗、利润与税费分别如何计入。否则计算模型无法建立可审核的金额。</w:t>
      </w:r>
    </w:p>
    <w:p>
      <w:pPr>
        <w:pStyle w:val="Heading1"/>
        <w:keepNext/>
      </w:pPr>
      <w:r>
        <w:t>03  当前数据资产与可用性证据</w:t>
      </w:r>
    </w:p>
    <w:p>
      <w:pPr>
        <w:pStyle w:val="Heading2"/>
        <w:keepNext/>
      </w:pPr>
      <w:r>
        <w:t>3.1  规模与结构（不同模具分开统计）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275"/>
        <w:gridCol w:w="2275"/>
        <w:gridCol w:w="3125"/>
      </w:tblGrid>
      <w:tr>
        <w:trPr>
          <w:tblHeader w:val="true"/>
        </w:trPr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CMY1000A 冲压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SMX0100 注塑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判定说明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CAD主体图号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179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18</w:t>
            </w:r>
          </w:p>
        </w:tc>
        <w:tc>
          <w:tcPr>
            <w:tcW w:type="dxa" w:w="312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图号不等于独立训练样本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历史主体/电极件号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179 / 9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18 / 26</w:t>
            </w:r>
          </w:p>
        </w:tc>
        <w:tc>
          <w:tcPr>
            <w:tcW w:type="dxa" w:w="312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电极另建依赖关系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历史工序记录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783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151</w:t>
            </w:r>
          </w:p>
        </w:tc>
        <w:tc>
          <w:tcPr>
            <w:tcW w:type="dxa" w:w="312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共934，按原始行序保留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严格图号匹配主体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171 / 179（95.53%）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17 / 18（94.44%）</w:t>
            </w:r>
          </w:p>
        </w:tc>
        <w:tc>
          <w:tcPr>
            <w:tcW w:type="dxa" w:w="312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仅身份匹配，非预测准确率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依据图框细节的匹配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177 / 179（98.88%）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17 / 18（94.44%）</w:t>
            </w:r>
          </w:p>
        </w:tc>
        <w:tc>
          <w:tcPr>
            <w:tcW w:type="dxa" w:w="312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保留编号冲突，不自动放行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工序字典覆盖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783 / 783（100%）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151 / 151（100%）</w:t>
            </w:r>
          </w:p>
        </w:tc>
        <w:tc>
          <w:tcPr>
            <w:tcW w:type="dxa" w:w="312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代码能翻译，不表示工序正确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可用三维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仅2D</w:t>
            </w:r>
          </w:p>
        </w:tc>
        <w:tc>
          <w:tcPr>
            <w:tcW w:type="dxa" w:w="227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18组有同名2D/3D</w:t>
            </w:r>
          </w:p>
        </w:tc>
        <w:tc>
          <w:tcPr>
            <w:tcW w:type="dxa" w:w="312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尚未验证STEP几何与版次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之前7份DXF均通过结构解析审计，其中CMY大图检测195个图框、179个不同图号（多页合并）；这说明可实现图纸批量分区。甲方后补18张注塑图与旧6组有重复，去重后仍为18个主体图号。</w:t>
      </w:r>
    </w:p>
    <w:p>
      <w:pPr>
        <w:pStyle w:val="Heading2"/>
        <w:keepNext/>
      </w:pPr>
      <w:r>
        <w:t>3.2  业务数据关联强项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客户PPT明确CAD图号与工艺表件号对应，同件工序自上至下排列。代码分类字典覆盖当前所有934条工序记录。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CMY 图号与明细编号存在 P20A / P20A-B、D22A / D22A-G 等差异；已通过图框内来源证据进一步改善覆盖率，但不能统一截断后缀。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SMX的18个主体均存在同名2D/3D文件，但只能确认文件名覆盖，不能据此保证几何正确、版次一致或3D包含公差。</w:t>
      </w:r>
    </w:p>
    <w:p>
      <w:pPr>
        <w:pStyle w:val="Heading2"/>
        <w:keepNext/>
      </w:pPr>
      <w:r>
        <w:t>3.3  确实存在的脏数据和专业歧义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3614"/>
        <w:gridCol w:w="4262"/>
      </w:tblGrid>
      <w:tr>
        <w:trPr>
          <w:tblHeader w:val="true"/>
        </w:trPr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实际样例 / 表现</w:t>
            </w:r>
          </w:p>
        </w:tc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后果 / 所需动作</w:t>
            </w:r>
          </w:p>
        </w:tc>
      </w:tr>
      <w:tr>
        <w:tc>
          <w:tcPr>
            <w:tcW w:type="dxa" w:w="174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图号身份冲突</w:t>
            </w:r>
          </w:p>
        </w:tc>
        <w:tc>
          <w:tcPr>
            <w:tcW w:type="dxa" w:w="36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CMY-D21A 图号 vs 明细 D21AG</w:t>
            </w:r>
          </w:p>
        </w:tc>
        <w:tc>
          <w:tcPr>
            <w:tcW w:type="dxa" w:w="42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工程师解释真实零件身份，不自动合并</w:t>
            </w:r>
          </w:p>
        </w:tc>
      </w:tr>
      <w:tr>
        <w:tc>
          <w:tcPr>
            <w:tcW w:type="dxa" w:w="174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星号别名</w:t>
            </w:r>
          </w:p>
        </w:tc>
        <w:tc>
          <w:tcPr>
            <w:tcW w:type="dxa" w:w="36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CMY-S33A*、SMX-M20A*</w:t>
            </w:r>
          </w:p>
        </w:tc>
        <w:tc>
          <w:tcPr>
            <w:tcW w:type="dxa" w:w="42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确认符号用途，建立受控别名表</w:t>
            </w:r>
          </w:p>
        </w:tc>
      </w:tr>
      <w:tr>
        <w:tc>
          <w:tcPr>
            <w:tcW w:type="dxa" w:w="174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EDM零值</w:t>
            </w:r>
          </w:p>
        </w:tc>
        <w:tc>
          <w:tcPr>
            <w:tcW w:type="dxa" w:w="36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主体EDM2可记录0，支线含放电定额</w:t>
            </w:r>
          </w:p>
        </w:tc>
        <w:tc>
          <w:tcPr>
            <w:tcW w:type="dxa" w:w="42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0可能是占位，不能解释为无需工序</w:t>
            </w:r>
          </w:p>
        </w:tc>
      </w:tr>
      <w:tr>
        <w:tc>
          <w:tcPr>
            <w:tcW w:type="dxa" w:w="174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异常长工时</w:t>
            </w:r>
          </w:p>
        </w:tc>
        <w:tc>
          <w:tcPr>
            <w:tcW w:type="dxa" w:w="36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热处理RCL存在72</w:t>
            </w:r>
          </w:p>
        </w:tc>
        <w:tc>
          <w:tcPr>
            <w:tcW w:type="dxa" w:w="42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可能是周期非机器实际占用时间</w:t>
            </w:r>
          </w:p>
        </w:tc>
      </w:tr>
      <w:tr>
        <w:tc>
          <w:tcPr>
            <w:tcW w:type="dxa" w:w="174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字体与尺度</w:t>
            </w:r>
          </w:p>
        </w:tc>
        <w:tc>
          <w:tcPr>
            <w:tcW w:type="dxa" w:w="36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gdt特殊符号、尺寸覆盖/缓存</w:t>
            </w:r>
          </w:p>
        </w:tc>
        <w:tc>
          <w:tcPr>
            <w:tcW w:type="dxa" w:w="42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必须进行图面、样式与制造语义核对</w:t>
            </w:r>
          </w:p>
        </w:tc>
      </w:tr>
      <w:tr>
        <w:tc>
          <w:tcPr>
            <w:tcW w:type="dxa" w:w="174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版本关系缺失</w:t>
            </w:r>
          </w:p>
        </w:tc>
        <w:tc>
          <w:tcPr>
            <w:tcW w:type="dxa" w:w="36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图号相同不等于版次相同</w:t>
            </w:r>
          </w:p>
        </w:tc>
        <w:tc>
          <w:tcPr>
            <w:tcW w:type="dxa" w:w="42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需建立图纸版本与工艺版本对应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 代表性工序依赖：SMX0100-F20A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主体 MS2(4) → TG2(2.5) → EDM1(4) → EDM2(0)；电极1 CNC3(1.5) → CNC3(1.5) → EDM2(3.5)；电极2 CNC3(0.7) → EDM2(2.0)。按9条来源行恰计一次，原始定额工作量合计19.7，PPT案例标注单位为小时。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9"/>
        <w:gridCol w:w="8093"/>
      </w:tblGrid>
      <w:tr>
        <w:tc>
          <w:tcPr>
            <w:tcW w:type="dxa" w:w="4968"/>
            <w:shd w:fill="0A667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重要边界</w:t>
            </w:r>
          </w:p>
        </w:tc>
        <w:tc>
          <w:tcPr>
            <w:tcW w:type="dxa" w:w="4968"/>
            <w:shd w:fill="EDF5F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8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8"/>
              </w:rPr>
              <w:t>19.7 是案例的工序定额工作量总和，不是实际完工历时，也不是已经确认可归属到主体零件的成本；工序并行与电极复用尚未核验。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04  数据对业务需求的支撑矩阵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难度1—5级为本方案工程判断，不是基于完整实测得出的评分；“可实现”仅指在约定输入、规范、人工审核条件下具备开展开发的基础。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1"/>
        <w:gridCol w:w="3197"/>
        <w:gridCol w:w="821"/>
        <w:gridCol w:w="3110"/>
      </w:tblGrid>
      <w:tr>
        <w:trPr>
          <w:tblHeader w:val="true"/>
        </w:trPr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样本支持程度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难度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核心待补条件 / 验收重点</w:t>
            </w:r>
          </w:p>
        </w:tc>
      </w:tr>
      <w:tr>
        <w:tc>
          <w:tcPr>
            <w:tcW w:type="dxa" w:w="24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A. 图纸导入、分区、编号</w:t>
            </w:r>
          </w:p>
        </w:tc>
        <w:tc>
          <w:tcPr>
            <w:tcW w:type="dxa" w:w="31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较强：7 DXF可读；179图号可分</w:t>
            </w:r>
          </w:p>
        </w:tc>
        <w:tc>
          <w:tcPr>
            <w:tcW w:type="dxa" w:w="8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2/5</w:t>
            </w:r>
          </w:p>
        </w:tc>
        <w:tc>
          <w:tcPr>
            <w:tcW w:type="dxa" w:w="31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CAD格式/字体/多布局兼容、转换保真抽验</w:t>
            </w:r>
          </w:p>
        </w:tc>
      </w:tr>
      <w:tr>
        <w:tc>
          <w:tcPr>
            <w:tcW w:type="dxa" w:w="24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B. 尺寸、公差、技术语义</w:t>
            </w:r>
          </w:p>
        </w:tc>
        <w:tc>
          <w:tcPr>
            <w:tcW w:type="dxa" w:w="31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中：原文候选可读</w:t>
            </w:r>
          </w:p>
        </w:tc>
        <w:tc>
          <w:tcPr>
            <w:tcW w:type="dxa" w:w="8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4/5</w:t>
            </w:r>
          </w:p>
        </w:tc>
        <w:tc>
          <w:tcPr>
            <w:tcW w:type="dxa" w:w="31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一般公差适用规则、覆盖/尺度、人工基准</w:t>
            </w:r>
          </w:p>
        </w:tc>
      </w:tr>
      <w:tr>
        <w:tc>
          <w:tcPr>
            <w:tcW w:type="dxa" w:w="24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C. 版本差异与漏检风险</w:t>
            </w:r>
          </w:p>
        </w:tc>
        <w:tc>
          <w:tcPr>
            <w:tcW w:type="dxa" w:w="31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中低：有规则线索，缺新旧配对</w:t>
            </w:r>
          </w:p>
        </w:tc>
        <w:tc>
          <w:tcPr>
            <w:tcW w:type="dxa" w:w="8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4/5</w:t>
            </w:r>
          </w:p>
        </w:tc>
        <w:tc>
          <w:tcPr>
            <w:tcW w:type="dxa" w:w="31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公差变更真值集、无变化对照集</w:t>
            </w:r>
          </w:p>
        </w:tc>
      </w:tr>
      <w:tr>
        <w:tc>
          <w:tcPr>
            <w:tcW w:type="dxa" w:w="24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D. 历史路线/定额精确检索</w:t>
            </w:r>
          </w:p>
        </w:tc>
        <w:tc>
          <w:tcPr>
            <w:tcW w:type="dxa" w:w="31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强：934条，字典全覆盖</w:t>
            </w:r>
          </w:p>
        </w:tc>
        <w:tc>
          <w:tcPr>
            <w:tcW w:type="dxa" w:w="8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2/5</w:t>
            </w:r>
          </w:p>
        </w:tc>
        <w:tc>
          <w:tcPr>
            <w:tcW w:type="dxa" w:w="31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版次、图号别名、审批与显示溯源</w:t>
            </w:r>
          </w:p>
        </w:tc>
      </w:tr>
      <w:tr>
        <w:tc>
          <w:tcPr>
            <w:tcW w:type="dxa" w:w="24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E. 电极依赖与汇总</w:t>
            </w:r>
          </w:p>
        </w:tc>
        <w:tc>
          <w:tcPr>
            <w:tcW w:type="dxa" w:w="31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中：F20A已可重建</w:t>
            </w:r>
          </w:p>
        </w:tc>
        <w:tc>
          <w:tcPr>
            <w:tcW w:type="dxa" w:w="8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4/5</w:t>
            </w:r>
          </w:p>
        </w:tc>
        <w:tc>
          <w:tcPr>
            <w:tcW w:type="dxa" w:w="31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父子关系、电极复用、0值与归属规则</w:t>
            </w:r>
          </w:p>
        </w:tc>
      </w:tr>
      <w:tr>
        <w:tc>
          <w:tcPr>
            <w:tcW w:type="dxa" w:w="24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F. 相似案例智能检索</w:t>
            </w:r>
          </w:p>
        </w:tc>
        <w:tc>
          <w:tcPr>
            <w:tcW w:type="dxa" w:w="31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中低：样本家族有限</w:t>
            </w:r>
          </w:p>
        </w:tc>
        <w:tc>
          <w:tcPr>
            <w:tcW w:type="dxa" w:w="8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3/5</w:t>
            </w:r>
          </w:p>
        </w:tc>
        <w:tc>
          <w:tcPr>
            <w:tcW w:type="dxa" w:w="31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定义相似度、工程师对照评测</w:t>
            </w:r>
          </w:p>
        </w:tc>
      </w:tr>
      <w:tr>
        <w:tc>
          <w:tcPr>
            <w:tcW w:type="dxa" w:w="24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G. 自动新工艺规划</w:t>
            </w:r>
          </w:p>
        </w:tc>
        <w:tc>
          <w:tcPr>
            <w:tcW w:type="dxa" w:w="31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不足：仅2套模具</w:t>
            </w:r>
          </w:p>
        </w:tc>
        <w:tc>
          <w:tcPr>
            <w:tcW w:type="dxa" w:w="8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5/5</w:t>
            </w:r>
          </w:p>
        </w:tc>
        <w:tc>
          <w:tcPr>
            <w:tcW w:type="dxa" w:w="31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多模具历史、加工特征、路线理由与专家标注</w:t>
            </w:r>
          </w:p>
        </w:tc>
      </w:tr>
      <w:tr>
        <w:tc>
          <w:tcPr>
            <w:tcW w:type="dxa" w:w="24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H. 实际工时预测</w:t>
            </w:r>
          </w:p>
        </w:tc>
        <w:tc>
          <w:tcPr>
            <w:tcW w:type="dxa" w:w="31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不足：定额非报工</w:t>
            </w:r>
          </w:p>
        </w:tc>
        <w:tc>
          <w:tcPr>
            <w:tcW w:type="dxa" w:w="8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5/5</w:t>
            </w:r>
          </w:p>
        </w:tc>
        <w:tc>
          <w:tcPr>
            <w:tcW w:type="dxa" w:w="31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现场实际报工、设备、数量、加工参数</w:t>
            </w:r>
          </w:p>
        </w:tc>
      </w:tr>
      <w:tr>
        <w:tc>
          <w:tcPr>
            <w:tcW w:type="dxa" w:w="24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I. 成本核算/报价</w:t>
            </w:r>
          </w:p>
        </w:tc>
        <w:tc>
          <w:tcPr>
            <w:tcW w:type="dxa" w:w="31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不足：缺费率成本口径</w:t>
            </w:r>
          </w:p>
        </w:tc>
        <w:tc>
          <w:tcPr>
            <w:tcW w:type="dxa" w:w="8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4-5/5</w:t>
            </w:r>
          </w:p>
        </w:tc>
        <w:tc>
          <w:tcPr>
            <w:tcW w:type="dxa" w:w="31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材料、设备费率、分摊、商业利润税费</w:t>
            </w:r>
          </w:p>
        </w:tc>
      </w:tr>
      <w:tr>
        <w:tc>
          <w:tcPr>
            <w:tcW w:type="dxa" w:w="249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J. 2D自动生成3D</w:t>
            </w:r>
          </w:p>
        </w:tc>
        <w:tc>
          <w:tcPr>
            <w:tcW w:type="dxa" w:w="319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不足：专项探索</w:t>
            </w:r>
          </w:p>
        </w:tc>
        <w:tc>
          <w:tcPr>
            <w:tcW w:type="dxa" w:w="82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5/5</w:t>
            </w:r>
          </w:p>
        </w:tc>
        <w:tc>
          <w:tcPr>
            <w:tcW w:type="dxa" w:w="311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图纸完整约束、STEP验真、专家验收与样本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 四个最容易误判的指标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图号匹配率 95%左右，是“图纸编号与表格件号可连接”的覆盖率，不是CAD识别精确率或成本预测准确率。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工序代码映射率 100%，意味着所有代码可在客户字典找到说明，不意味着该工艺路线经过审查或适用未来新零件。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工时字段数值完整，不意味着为真实机器占用时长；热处理等待时间、准备工时和放电明细可能口径不同。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只有两套独立模具，197个主体不应随机拆成训练/测试后便声称跨模具泛化。需按模具、家族、版本隔离评测。</w:t>
      </w:r>
    </w:p>
    <w:p>
      <w:r>
        <w:br w:type="page"/>
      </w:r>
    </w:p>
    <w:p>
      <w:pPr>
        <w:pStyle w:val="Heading1"/>
        <w:keepNext/>
      </w:pPr>
      <w:r>
        <w:t>05  推荐总体技术架构</w:t>
      </w:r>
    </w:p>
    <w:p>
      <w:pPr>
        <w:pStyle w:val="Heading2"/>
        <w:keepNext/>
      </w:pPr>
      <w:r>
        <w:t>5.1  从确定性工具到受限Agent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采用“CAD专业解析 + 结构化制造知识 + 规则引擎 + 受控LLM/Agent + 工程师复核”的混合方案。Agent负责组织步骤、检索与解释，不承担几何精确计算、公差算术或费率乘法的最终裁决。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5"/>
        <w:gridCol w:w="2952"/>
        <w:gridCol w:w="4982"/>
      </w:tblGrid>
      <w:tr>
        <w:trPr>
          <w:tblHeader w:val="true"/>
        </w:trPr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推荐能力</w:t>
            </w:r>
          </w:p>
        </w:tc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主要技术选项 / 边界</w:t>
            </w:r>
          </w:p>
        </w:tc>
      </w:tr>
      <w:tr>
        <w:tc>
          <w:tcPr>
            <w:tcW w:type="dxa" w:w="1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输入与版本</w:t>
            </w:r>
          </w:p>
        </w:tc>
        <w:tc>
          <w:tcPr>
            <w:tcW w:type="dxa" w:w="29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DWG/DXF、STEP、历史工艺Excel、后续MES/ERP</w:t>
            </w:r>
          </w:p>
        </w:tc>
        <w:tc>
          <w:tcPr>
            <w:tcW w:type="dxa" w:w="49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ODA转换 / CAD原生SDK；文件版本、哈希和权限</w:t>
            </w:r>
          </w:p>
        </w:tc>
      </w:tr>
      <w:tr>
        <w:tc>
          <w:tcPr>
            <w:tcW w:type="dxa" w:w="1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工程数据解析</w:t>
            </w:r>
          </w:p>
        </w:tc>
        <w:tc>
          <w:tcPr>
            <w:tcW w:type="dxa" w:w="29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实体、图框、属性、尺寸样式、字体、三维拓扑</w:t>
            </w:r>
          </w:p>
        </w:tc>
        <w:tc>
          <w:tcPr>
            <w:tcW w:type="dxa" w:w="49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ezdxf；STEP用OpenCascade类CAD内核验证</w:t>
            </w:r>
          </w:p>
        </w:tc>
      </w:tr>
      <w:tr>
        <w:tc>
          <w:tcPr>
            <w:tcW w:type="dxa" w:w="1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制造特征抽取</w:t>
            </w:r>
          </w:p>
        </w:tc>
        <w:tc>
          <w:tcPr>
            <w:tcW w:type="dxa" w:w="29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显式尺寸/一般公差/材料/粗糙度/热处理</w:t>
            </w:r>
          </w:p>
        </w:tc>
        <w:tc>
          <w:tcPr>
            <w:tcW w:type="dxa" w:w="49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规则与坐标/图框绑定；疑义字段人工复核</w:t>
            </w:r>
          </w:p>
        </w:tc>
      </w:tr>
      <w:tr>
        <w:tc>
          <w:tcPr>
            <w:tcW w:type="dxa" w:w="1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关系与知识层</w:t>
            </w:r>
          </w:p>
        </w:tc>
        <w:tc>
          <w:tcPr>
            <w:tcW w:type="dxa" w:w="29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零件—版本—工序—设备—电极—批次</w:t>
            </w:r>
          </w:p>
        </w:tc>
        <w:tc>
          <w:tcPr>
            <w:tcW w:type="dxa" w:w="49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关系数据库主存；文档检索辅助，不只做向量RAG</w:t>
            </w:r>
          </w:p>
        </w:tc>
      </w:tr>
      <w:tr>
        <w:tc>
          <w:tcPr>
            <w:tcW w:type="dxa" w:w="1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受控Agent</w:t>
            </w:r>
          </w:p>
        </w:tc>
        <w:tc>
          <w:tcPr>
            <w:tcW w:type="dxa" w:w="29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检索、差异说明、问答、异常分流</w:t>
            </w:r>
          </w:p>
        </w:tc>
        <w:tc>
          <w:tcPr>
            <w:tcW w:type="dxa" w:w="49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可选Qwen等具结构化输出的LLM；人机协同</w:t>
            </w:r>
          </w:p>
        </w:tc>
      </w:tr>
      <w:tr>
        <w:tc>
          <w:tcPr>
            <w:tcW w:type="dxa" w:w="16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核算与审计</w:t>
            </w:r>
          </w:p>
        </w:tc>
        <w:tc>
          <w:tcPr>
            <w:tcW w:type="dxa" w:w="29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工时归属、费率、金额、每步证据与审批</w:t>
            </w:r>
          </w:p>
        </w:tc>
        <w:tc>
          <w:tcPr>
            <w:tcW w:type="dxa" w:w="49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确定性计算器 + 审计日志 + 人工放行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 端到端数据流程（目标架构）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862"/>
      </w:tblGrid>
      <w:tr>
        <w:trPr>
          <w:tblHeader w:val="true"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关键动作与审查关口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① 文件接入</w:t>
            </w:r>
          </w:p>
        </w:tc>
        <w:tc>
          <w:tcPr>
            <w:tcW w:type="dxa" w:w="78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原始存档 → 版本核验 → DWG/DXF/STEP只读解析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② 数据建模</w:t>
            </w:r>
          </w:p>
        </w:tc>
        <w:tc>
          <w:tcPr>
            <w:tcW w:type="dxa" w:w="78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图框/视图归属 → 图号与版次 → 尺寸/公差/材料/技术要求 → 标注来源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③ 历史关联</w:t>
            </w:r>
          </w:p>
        </w:tc>
        <w:tc>
          <w:tcPr>
            <w:tcW w:type="dxa" w:w="78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图纸件号 ⇄ 历史工序及定额；电极树状依赖，异常保留人工待核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④ 规则/辅助</w:t>
            </w:r>
          </w:p>
        </w:tc>
        <w:tc>
          <w:tcPr>
            <w:tcW w:type="dxa" w:w="78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优先执行明确公差规则及版本差异；受控检索历史可比工艺并展示证据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⑤ 可选工时核算</w:t>
            </w:r>
          </w:p>
        </w:tc>
        <w:tc>
          <w:tcPr>
            <w:tcW w:type="dxa" w:w="78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依赖客户提供实际报工、设备/批量和受控费率后验证模型/算术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⑥ 人工放行</w:t>
            </w:r>
          </w:p>
        </w:tc>
        <w:tc>
          <w:tcPr>
            <w:tcW w:type="dxa" w:w="786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高风险/低置信字段转人工，记录审核意见；最终依据可回溯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 公差引擎设计要点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保留原始显示小数位（如10.00不等同于10.0的业务规则条件），不能只读取浮点几何长度。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显式标注、单侧公差、一般公差、标题栏规则、技术要求的适用范围与优先级需由甲方工艺专家审定。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图框文字、块属性、DIMENSION显示文字与缓存测量必须分离记录来源；冲突时标注“不确定”，禁止自动改写报价条件。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版本对比需支持“几何相同但图框公差不同”；必须获得客户原案例两个版本图纸及核价细节才可实测。</w:t>
      </w:r>
    </w:p>
    <w:p>
      <w:pPr>
        <w:pStyle w:val="Heading1"/>
        <w:keepNext/>
      </w:pPr>
      <w:r>
        <w:t>06  分阶段研发与交付建议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以下工期为具备约定人员、样本、权限、验收响应的规划值；阶段可有少量并行，不能理解为承诺日历工期。建议先共同签订可验收的范围清单。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3082"/>
        <w:gridCol w:w="3226"/>
      </w:tblGrid>
      <w:tr>
        <w:trPr>
          <w:tblHeader w:val="true"/>
        </w:trPr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建议周期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关键产出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验收门槛（拟议）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G0 需求与数据封板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2—4周</w:t>
            </w:r>
          </w:p>
        </w:tc>
        <w:tc>
          <w:tcPr>
            <w:tcW w:type="dxa" w:w="3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数据字典、图号规则、版本/公差标注规范、抽验集；风险清单</w:t>
            </w:r>
          </w:p>
        </w:tc>
        <w:tc>
          <w:tcPr>
            <w:tcW w:type="dxa" w:w="322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甲方确认成本口径、数据权限、专家与优先范围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G1 可审核的报价辅助MVP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8—14周</w:t>
            </w:r>
          </w:p>
        </w:tc>
        <w:tc>
          <w:tcPr>
            <w:tcW w:type="dxa" w:w="3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批量CAD解析、零件检索、历史路线/定额显示、异常与电极支线、人工审核界面</w:t>
            </w:r>
          </w:p>
        </w:tc>
        <w:tc>
          <w:tcPr>
            <w:tcW w:type="dxa" w:w="322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抽样正确、来源可追溯、冲突转人工；无自动金额承诺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G2 工艺/工时专题验证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3—6个月，条件触发</w:t>
            </w:r>
          </w:p>
        </w:tc>
        <w:tc>
          <w:tcPr>
            <w:tcW w:type="dxa" w:w="3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独立模具样本、工艺选择规则、实际报工回归、候选工时模型与评测</w:t>
            </w:r>
          </w:p>
        </w:tc>
        <w:tc>
          <w:tcPr>
            <w:tcW w:type="dxa" w:w="322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跨模具测试达双方定义的误差/覆盖率；不达标止步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G3 成本核算/生产集成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6—12个月以上，另立项</w:t>
            </w:r>
          </w:p>
        </w:tc>
        <w:tc>
          <w:tcPr>
            <w:tcW w:type="dxa" w:w="308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版次匹配、经核验费率和分摊、ERP/MES接口、报价审核/审计</w:t>
            </w:r>
          </w:p>
        </w:tc>
        <w:tc>
          <w:tcPr>
            <w:tcW w:type="dxa" w:w="322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独立成本样本验证，审批放行；跨模具稳定性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 先拟定验收方法，再承诺准确率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图纸类：使用人工金标准逐字段评估 precision/recall；关键一般公差漏检应单列统计，不用总体文字读取率替代。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关联类：按已确认编号/版次评估精确匹配、误配与人工复核率；星号及图号冲突不得自动放行。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工艺类：由至少两名甲方专家审查“可接受路线”，记录分歧及禁用工序，不用代码匹配率替代。</w:t>
      </w:r>
    </w:p>
    <w:p>
      <w:pPr>
        <w:pStyle w:val="ListBullet"/>
        <w:spacing w:after="60" w:line="295" w:lineRule="auto"/>
        <w:ind w:left="302"/>
      </w:pPr>
      <w:r>
        <w:rPr>
          <w:rFonts w:ascii="Noto Sans CJK SC" w:hAnsi="Noto Sans CJK SC" w:eastAsia="Noto Sans CJK SC" w:cs="Noto Sans CJK SC"/>
          <w:sz w:val="18"/>
        </w:rPr>
        <w:t>工时/成本类：使用未参与训练的独立模具/时间批次，报告MAE、MAPE或WAPE、分位误差与风险样本；高风险需人工核价。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建议的数字化验收目标必须在G0阶段基于真实标注集、容忍误差和人员投入共同确认。本文件不提前承诺“90%准确率”或特定成本误差。</w:t>
      </w:r>
    </w:p>
    <w:p>
      <w:pPr>
        <w:pStyle w:val="Heading2"/>
        <w:keepNext/>
      </w:pPr>
      <w:r>
        <w:t>6.2  团队角色与甲方配合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285"/>
        <w:gridCol w:w="2246"/>
      </w:tblGrid>
      <w:tr>
        <w:trPr>
          <w:tblHeader w:val="true"/>
        </w:trPr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项目建议投入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Python/CAD数据工程</w:t>
            </w:r>
          </w:p>
        </w:tc>
        <w:tc>
          <w:tcPr>
            <w:tcW w:type="dxa" w:w="52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CAD解析、工艺Excel联动、图框/尺寸证据</w:t>
            </w:r>
          </w:p>
        </w:tc>
        <w:tc>
          <w:tcPr>
            <w:tcW w:type="dxa" w:w="224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1名核心研发；高峰配1名支持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后端/Agent工程</w:t>
            </w:r>
          </w:p>
        </w:tc>
        <w:tc>
          <w:tcPr>
            <w:tcW w:type="dxa" w:w="52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结构化服务、规则引擎、检索、流程编排、审计</w:t>
            </w:r>
          </w:p>
        </w:tc>
        <w:tc>
          <w:tcPr>
            <w:tcW w:type="dxa" w:w="224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1名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前端/测试/部署</w:t>
            </w:r>
          </w:p>
        </w:tc>
        <w:tc>
          <w:tcPr>
            <w:tcW w:type="dxa" w:w="52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可审核页面、评测、权限、集成测试</w:t>
            </w:r>
          </w:p>
        </w:tc>
        <w:tc>
          <w:tcPr>
            <w:tcW w:type="dxa" w:w="224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合计1—2名或阶段性投入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数据科学/制造工艺顾问</w:t>
            </w:r>
          </w:p>
        </w:tc>
        <w:tc>
          <w:tcPr>
            <w:tcW w:type="dxa" w:w="52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工时基线、评价设计、制造专业规则</w:t>
            </w:r>
          </w:p>
        </w:tc>
        <w:tc>
          <w:tcPr>
            <w:tcW w:type="dxa" w:w="224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按G2需求介入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甲方工艺/核价专家</w:t>
            </w:r>
          </w:p>
        </w:tc>
        <w:tc>
          <w:tcPr>
            <w:tcW w:type="dxa" w:w="52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审核公差/工序、电极归属、标签和验收集</w:t>
            </w:r>
          </w:p>
        </w:tc>
        <w:tc>
          <w:tcPr>
            <w:tcW w:type="dxa" w:w="224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至少指定1名负责人＋按需领域专家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甲方IT/业务接口</w:t>
            </w:r>
          </w:p>
        </w:tc>
        <w:tc>
          <w:tcPr>
            <w:tcW w:type="dxa" w:w="528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ERP/MES导出、费率、数据权限及版控</w:t>
            </w:r>
          </w:p>
        </w:tc>
        <w:tc>
          <w:tcPr>
            <w:tcW w:type="dxa" w:w="224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指定接口人，周期性评审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07  甲方需补充的信息与建议优先顺序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824"/>
        <w:gridCol w:w="4003"/>
      </w:tblGrid>
      <w:tr>
        <w:trPr>
          <w:tblHeader w:val="true"/>
        </w:trPr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优先</w:t>
            </w:r>
          </w:p>
        </w:tc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必须确认 / 提供</w:t>
            </w:r>
          </w:p>
        </w:tc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用途 / 未提供的后果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P0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业务目标优先级：防公差漏判、辅助报价、自动报价哪项为一期验收</w:t>
            </w:r>
          </w:p>
        </w:tc>
        <w:tc>
          <w:tcPr>
            <w:tcW w:type="dxa" w:w="40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范围、技术难度及合同报价不同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P0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典型旧/新版图纸与公差变更案例，含核价差异依据</w:t>
            </w:r>
          </w:p>
        </w:tc>
        <w:tc>
          <w:tcPr>
            <w:tcW w:type="dxa" w:w="40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无法验收版本差异检测与报价风险提示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P0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工时定额含义、单位、单件/批次、准备/加工/检验口径</w:t>
            </w:r>
          </w:p>
        </w:tc>
        <w:tc>
          <w:tcPr>
            <w:tcW w:type="dxa" w:w="40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不能做一致的工时标签与比较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P0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电极复用与加工归属、零值、星号、图号冲突处理规则</w:t>
            </w:r>
          </w:p>
        </w:tc>
        <w:tc>
          <w:tcPr>
            <w:tcW w:type="dxa" w:w="40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防止错误关联与重复计时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P0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双方指定模具工艺和报价工程师、每周审核时间</w:t>
            </w:r>
          </w:p>
        </w:tc>
        <w:tc>
          <w:tcPr>
            <w:tcW w:type="dxa" w:w="40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公差语义与工艺规则无法独立定真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P1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多套独立模具样本、家族/版本/设备/材质覆盖</w:t>
            </w:r>
          </w:p>
        </w:tc>
        <w:tc>
          <w:tcPr>
            <w:tcW w:type="dxa" w:w="40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验证泛化，不仅会查历史件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P1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真实报工、设备工单、返工与质量结果</w:t>
            </w:r>
          </w:p>
        </w:tc>
        <w:tc>
          <w:tcPr>
            <w:tcW w:type="dxa" w:w="40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验证实际工时而非只有计划定额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P1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费率/材料/外协/检验/管理等核算口径</w:t>
            </w:r>
          </w:p>
        </w:tc>
        <w:tc>
          <w:tcPr>
            <w:tcW w:type="dxa" w:w="40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成本核算与报价不可落地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P1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STEP文件对应版次、可用性及原CAD软件版本</w:t>
            </w:r>
          </w:p>
        </w:tc>
        <w:tc>
          <w:tcPr>
            <w:tcW w:type="dxa" w:w="40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2D/3D对应与几何特征提取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P2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ERP/MES接口、并发规模、保密、离线/私有化要求</w:t>
            </w:r>
          </w:p>
        </w:tc>
        <w:tc>
          <w:tcPr>
            <w:tcW w:type="dxa" w:w="400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生产集成、安全和交付预算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 专业工程师不是“写Prompt”，而是提供规则与判定真值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建议甲方安排核价工程师、模具加工工艺工程师、设备/成本核算人员各有明确联系人，参与图纸抽检、工艺路线解释、工时口径统一、价差原因复盘及阶段评测。模型提示词只是表达手段，不能代替客户内部工艺标准和正式审批。</w:t>
      </w:r>
    </w:p>
    <w:p>
      <w:pPr>
        <w:pStyle w:val="Heading2"/>
        <w:keepNext/>
      </w:pPr>
      <w:r>
        <w:t>7.2  建议按统一字段模板导出新数据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最低关联键建议：mold_id、part_no、drawing_revision、process_revision、route_step_id、process_code、machine_type、setup_time、run_time、measured_time、quantity、cost_rate、effective_date、approval_status。仅建议字段，需以实际ERP/MES数据字典确认是否存在。</w:t>
      </w:r>
    </w:p>
    <w:p>
      <w:pPr>
        <w:pStyle w:val="Heading1"/>
        <w:keepNext/>
      </w:pPr>
      <w:r>
        <w:t>08  技术难度、关键风险与控制策略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49"/>
        <w:gridCol w:w="3096"/>
        <w:gridCol w:w="3960"/>
      </w:tblGrid>
      <w:tr>
        <w:trPr>
          <w:tblHeader w:val="true"/>
        </w:trPr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触发示例</w:t>
            </w:r>
          </w:p>
        </w:tc>
        <w:tc>
          <w:tcPr>
            <w:tcW w:type="dxa" w:w="24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控制策略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公差语义误读</w:t>
            </w:r>
          </w:p>
        </w:tc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高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gdt特殊符号、未注公差范围错误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规则优先级专家签字、原图定位、不得静默默认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数据匹配误认</w:t>
            </w:r>
          </w:p>
        </w:tc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高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D21A/D21AG、星号与电极后缀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保留原标识/行号，别名需受控审核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训练标签不成立</w:t>
            </w:r>
          </w:p>
        </w:tc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高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工时定额被当现场实测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计划/实际分表，先证明口径再建模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模型泛化失败</w:t>
            </w:r>
          </w:p>
        </w:tc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高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同套模具内部随机切分造成虚高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跨模具、家族、时间分组独立评测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电极双计成本</w:t>
            </w:r>
          </w:p>
        </w:tc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高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主体EDM2=0与支线EDM2汇总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唯一来源行、依赖图、账本式汇总测试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制造专业依赖</w:t>
            </w:r>
          </w:p>
        </w:tc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高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需决定加工特征对应工艺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甲方专员持续审查，不由大模型臆断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CAD/3D技术复杂性</w:t>
            </w:r>
          </w:p>
        </w:tc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中高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缺STEP几何验证、2D表达不唯一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仅在数据支持时做专项验证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生产部署与合规</w:t>
            </w:r>
          </w:p>
        </w:tc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中高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敏感图纸外发、闭源SDK授权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优先本地处理、权限隔离、许可证核验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成本指标不统一</w:t>
            </w:r>
          </w:p>
        </w:tc>
        <w:tc>
          <w:tcPr>
            <w:tcW w:type="dxa" w:w="74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高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核价/报价/制造成本混用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先定义科目、分摊、税费与审批接口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 对Agent的合理定位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本项目主要风险不是LangGraph等框架怎么编排，而是CAD制造语义与客户内部成本规则。早期无须训练自有大模型，也不应将所有模块硬拆成多个Agent。优先实现可测试的解析器、工艺字典、关联关系和审计规则；Agent仅承担查询、解释、任务分流及辅助交互。</w:t>
      </w:r>
    </w:p>
    <w:p>
      <w:pPr>
        <w:pStyle w:val="Heading1"/>
        <w:keepNext/>
      </w:pPr>
      <w:r>
        <w:t>10  建议的近期动作和决策清单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1"/>
        <w:gridCol w:w="4493"/>
        <w:gridCol w:w="3586"/>
      </w:tblGrid>
      <w:tr>
        <w:trPr>
          <w:tblHeader w:val="true"/>
        </w:trPr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时间节点</w:t>
            </w:r>
          </w:p>
        </w:tc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技术/业务动作</w:t>
            </w:r>
          </w:p>
        </w:tc>
        <w:tc>
          <w:tcPr>
            <w:tcW w:type="dxa" w:w="33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输出及决策</w:t>
            </w:r>
          </w:p>
        </w:tc>
      </w:tr>
      <w:tr>
        <w:tc>
          <w:tcPr>
            <w:tcW w:type="dxa" w:w="154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本周</w:t>
            </w:r>
          </w:p>
        </w:tc>
        <w:tc>
          <w:tcPr>
            <w:tcW w:type="dxa" w:w="44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召集甲方核价、工艺、成本、IT负责人；确认一期目标与工时定额定义</w:t>
            </w:r>
          </w:p>
        </w:tc>
        <w:tc>
          <w:tcPr>
            <w:tcW w:type="dxa" w:w="358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双方需求澄清纪要 / 数据补充任务书</w:t>
            </w:r>
          </w:p>
        </w:tc>
      </w:tr>
      <w:tr>
        <w:tc>
          <w:tcPr>
            <w:tcW w:type="dxa" w:w="154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第1—2周</w:t>
            </w:r>
          </w:p>
        </w:tc>
        <w:tc>
          <w:tcPr>
            <w:tcW w:type="dxa" w:w="44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原旧新版公差案例核验、字体尺度与图框关键字段抽样标注</w:t>
            </w:r>
          </w:p>
        </w:tc>
        <w:tc>
          <w:tcPr>
            <w:tcW w:type="dxa" w:w="358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金标准样本、语义问题库</w:t>
            </w:r>
          </w:p>
        </w:tc>
      </w:tr>
      <w:tr>
        <w:tc>
          <w:tcPr>
            <w:tcW w:type="dxa" w:w="154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第2—4周</w:t>
            </w:r>
          </w:p>
        </w:tc>
        <w:tc>
          <w:tcPr>
            <w:tcW w:type="dxa" w:w="44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图号/版本/电极/实际报工/费率对齐，定量评估缺口</w:t>
            </w:r>
          </w:p>
        </w:tc>
        <w:tc>
          <w:tcPr>
            <w:tcW w:type="dxa" w:w="358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可行性门槛报告与G1验收基线</w:t>
            </w:r>
          </w:p>
        </w:tc>
      </w:tr>
      <w:tr>
        <w:tc>
          <w:tcPr>
            <w:tcW w:type="dxa" w:w="154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之后</w:t>
            </w:r>
          </w:p>
        </w:tc>
        <w:tc>
          <w:tcPr>
            <w:tcW w:type="dxa" w:w="449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基于G0结果判断启动G1、缩减范围或暂停G2/G3</w:t>
            </w:r>
          </w:p>
        </w:tc>
        <w:tc>
          <w:tcPr>
            <w:tcW w:type="dxa" w:w="358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确认技术方案、工期、人日、商务报价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 给甲方的阶段性总结（可用于沟通）</w:t>
      </w:r>
    </w:p>
    <w:p>
      <w:pPr>
        <w:spacing w:after="120" w:line="324" w:lineRule="auto"/>
        <w:ind w:left="230"/>
      </w:pPr>
      <w:r>
        <w:rPr>
          <w:rFonts w:ascii="Noto Sans CJK SC" w:hAnsi="Noto Sans CJK SC" w:eastAsia="Noto Sans CJK SC" w:cs="Noto Sans CJK SC"/>
          <w:sz w:val="19"/>
        </w:rPr>
        <w:t>“我们对现有CAD与历史工艺工时样本完成了结构化分析。当前图纸与工艺表已建立较高比例的编号关联，工序分类及历史路线可以追溯，因此适合开展图纸智能解析、历史加工路线查询及可审核的辅助核价原型。但自动工艺规划、实际工时预测和完整成本核算需要进一步确认定额含义，并补充真实报工、图纸版本、设备费率、材料成本、独立模具样本及工程师的业务规则。建议先联合确认一期范围与验收指标，之后再形成正式报价。”</w:t>
      </w:r>
    </w:p>
    <w:p>
      <w:pPr>
        <w:pStyle w:val="Heading2"/>
        <w:keepNext/>
      </w:pPr>
      <w:r>
        <w:t>10.2  建议让 Codex 下一步做什么</w:t>
      </w: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现阶段无需再让Codex重复生成泛泛的投标方案。更有价值的是只读核验并输出证据：①图纸一般公差/字体/尺寸的人工核对清单；②图纸版本字段实际分布；③工艺定额口径及0值/72值疑问；④每个电极的父子依赖与未知归属；⑤根据各模块抽样工作量生成可复核人日拆分。不得用生成式猜测填补缺失制造知识。</w:t>
      </w:r>
    </w:p>
    <w:p>
      <w:pPr>
        <w:pStyle w:val="Heading1"/>
        <w:keepNext/>
      </w:pPr>
      <w:r>
        <w:t>附录A  资料来源与事实边界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299"/>
      </w:tblGrid>
      <w:tr>
        <w:trPr>
          <w:tblHeader w:val="true"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材料</w:t>
            </w:r>
          </w:p>
        </w:tc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183449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用途 / 注意事项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《模具零部件加工成本评估需求说明.pdf》 / 2026-09-23</w:t>
            </w:r>
          </w:p>
        </w:tc>
        <w:tc>
          <w:tcPr>
            <w:tcW w:type="dxa" w:w="52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甲方目标及概念流程；未经双方技术验收确认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《机加图档工艺工时说明.pptx》 / 2026-10-15</w:t>
            </w:r>
          </w:p>
        </w:tc>
        <w:tc>
          <w:tcPr>
            <w:tcW w:type="dxa" w:w="52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两类模具区分、件号-工时表对应与F20A电极流程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《CMY1000A-详细工艺工时.xls》</w:t>
            </w:r>
          </w:p>
        </w:tc>
        <w:tc>
          <w:tcPr>
            <w:tcW w:type="dxa" w:w="52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冲压加工工序与定额原始记录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《SMX0100-详细工艺工时.xls》</w:t>
            </w:r>
          </w:p>
        </w:tc>
        <w:tc>
          <w:tcPr>
            <w:tcW w:type="dxa" w:w="52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注塑加工工序与定额原始记录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《模具加工工艺分类.xlsx》</w:t>
            </w:r>
          </w:p>
        </w:tc>
        <w:tc>
          <w:tcPr>
            <w:tcW w:type="dxa" w:w="52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工序代码与客户定义的分类含义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Codex: dxf_deep_analysis.md</w:t>
            </w:r>
          </w:p>
        </w:tc>
        <w:tc>
          <w:tcPr>
            <w:tcW w:type="dxa" w:w="52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7份DXF、179图号、多图框、尺寸与文字提取的技术探查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Codex: manufacturing_data_analysis.md</w:t>
            </w:r>
          </w:p>
        </w:tc>
        <w:tc>
          <w:tcPr>
            <w:tcW w:type="dxa" w:w="52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934条工序、工时定额、字典映射及例外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Codex: cad_process_matching_report.md</w:t>
            </w:r>
          </w:p>
        </w:tc>
        <w:tc>
          <w:tcPr>
            <w:tcW w:type="dxa" w:w="52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图号/件号关联口径、匹配率、身份歧义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Codex: agent_feasibility_update.md</w:t>
            </w:r>
          </w:p>
        </w:tc>
        <w:tc>
          <w:tcPr>
            <w:tcW w:type="dxa" w:w="52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  <w:shd w:fill="F7FAFB"/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原型边界、数据缺口、模型训练限制</w:t>
            </w:r>
          </w:p>
        </w:tc>
      </w:tr>
      <w:tr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Codex: analysis_summary.json</w:t>
            </w:r>
          </w:p>
        </w:tc>
        <w:tc>
          <w:tcPr>
            <w:tcW w:type="dxa" w:w="5299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D8E3E7"/>
              <w:left w:val="single" w:sz="4" w:color="D8E3E7"/>
              <w:bottom w:val="single" w:sz="4" w:color="D8E3E7"/>
              <w:right w:val="single" w:sz="4" w:color="D8E3E7"/>
            </w:tcBorders>
          </w:tcPr>
          <w:p>
            <w:pPr>
              <w:spacing w:before="20" w:after="20" w:line="283" w:lineRule="auto"/>
            </w:pPr>
            <w:r/>
            <w:r>
              <w:rPr>
                <w:rFonts w:ascii="Noto Sans CJK SC" w:hAnsi="Noto Sans CJK SC" w:eastAsia="Noto Sans CJK SC" w:cs="Noto Sans CJK SC"/>
                <w:sz w:val="16"/>
              </w:rP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4374B"/>
                <w:sz w:val="16"/>
              </w:rPr>
              <w:t>分析汇总数据；可复核，但未经甲方联合抽验</w:t>
            </w:r>
          </w:p>
        </w:tc>
      </w:tr>
    </w:tbl>
    <w:p>
      <w:pPr>
        <w:spacing w:after="20"/>
      </w:pPr>
    </w:p>
    <w:p>
      <w:pPr>
        <w:spacing w:after="120" w:line="324" w:lineRule="auto"/>
      </w:pPr>
      <w:r>
        <w:rPr>
          <w:rFonts w:ascii="Noto Sans CJK SC" w:hAnsi="Noto Sans CJK SC" w:eastAsia="Noto Sans CJK SC" w:cs="Noto Sans CJK SC"/>
          <w:sz w:val="19"/>
        </w:rPr>
        <w:t>证据等级说明：“甲方需求陈述”反映需求或承诺，不等于数据已交付；“Codex解析结果”反映工具运行和数据关联结果，不等于人工金标准审核；“本文件评估结论”是基于现有材料的工程判断。所有业务规则、模型精度与金额口径均应甲方正式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965" w:left="1152" w:header="490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66788A"/>
        <w:sz w:val="16"/>
      </w:rPr>
      <w:t>基于甲方样本数据的阶段性技术判断  ·  2026-10-15  ·  待双方确认范围与验收标准</w:t>
    </w:r>
    <w:r>
      <w:t xml:space="preserve">        </w:t>
    </w:r>
    <w:r>
      <w:rPr>
        <w:rFonts w:ascii="Noto Sans CJK SC" w:hAnsi="Noto Sans CJK SC" w:eastAsia="Noto Sans CJK SC" w:cs="Noto Sans CJK SC"/>
        <w:color w:val="66788A"/>
        <w:sz w:val="16"/>
      </w:rPr>
      <w:t xml:space="preserve">第 </w:t>
    </w:r>
    <w:fldSimple w:instr="PAGE"/>
    <w:r>
      <w:rPr>
        <w:rFonts w:ascii="Noto Sans CJK SC" w:hAnsi="Noto Sans CJK SC" w:eastAsia="Noto Sans CJK SC" w:cs="Noto Sans CJK SC"/>
        <w:color w:val="66788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/>
        <w:color w:val="0A6674"/>
        <w:sz w:val="16"/>
      </w:rPr>
      <w:t>模具零部件加工成本评估  |  建设方案（沟通稿）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/>
    </w:pPr>
    <w:rPr>
      <w:rFonts w:ascii="Noto Sans CJK SC" w:hAnsi="Noto Sans CJK SC"/>
      <w:color w:val="2437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1834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0A667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/>
      <w:b/>
      <w:bCs/>
      <w:color w:val="0A667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模具零部件智能成本评估项目技术可行性及建设方案</dc:title>
  <dc:subject>CAD、加工工艺与工时数据证据评估</dc:subject>
  <dc:creator>技术方案工作组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