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B7AE3" w14:textId="77777777" w:rsidR="000B490C" w:rsidRDefault="000B490C" w:rsidP="002A3D8F">
      <w:pPr>
        <w:spacing w:line="480" w:lineRule="auto"/>
        <w:rPr>
          <w:rFonts w:ascii="Times New Roman" w:hAnsi="Times New Roman" w:cs="Times New Roman"/>
          <w:sz w:val="24"/>
          <w:szCs w:val="24"/>
        </w:rPr>
      </w:pPr>
    </w:p>
    <w:p w14:paraId="66CDB7E6" w14:textId="77777777" w:rsidR="000B490C" w:rsidRDefault="000B490C" w:rsidP="002A3D8F">
      <w:pPr>
        <w:spacing w:line="480" w:lineRule="auto"/>
        <w:rPr>
          <w:rFonts w:ascii="Times New Roman" w:hAnsi="Times New Roman" w:cs="Times New Roman"/>
          <w:sz w:val="24"/>
          <w:szCs w:val="24"/>
        </w:rPr>
      </w:pPr>
    </w:p>
    <w:p w14:paraId="249B51B7" w14:textId="77777777" w:rsidR="000B490C" w:rsidRDefault="000B490C" w:rsidP="002A3D8F">
      <w:pPr>
        <w:spacing w:line="480" w:lineRule="auto"/>
        <w:rPr>
          <w:rFonts w:ascii="Times New Roman" w:hAnsi="Times New Roman" w:cs="Times New Roman"/>
          <w:sz w:val="24"/>
          <w:szCs w:val="24"/>
        </w:rPr>
      </w:pPr>
    </w:p>
    <w:p w14:paraId="482C4180" w14:textId="77777777" w:rsidR="000B490C" w:rsidRDefault="000B490C" w:rsidP="002A3D8F">
      <w:pPr>
        <w:spacing w:line="480" w:lineRule="auto"/>
        <w:rPr>
          <w:rFonts w:ascii="Times New Roman" w:hAnsi="Times New Roman" w:cs="Times New Roman"/>
          <w:sz w:val="24"/>
          <w:szCs w:val="24"/>
        </w:rPr>
      </w:pPr>
    </w:p>
    <w:p w14:paraId="607B0FA3" w14:textId="7594FBE1" w:rsidR="005B63F0" w:rsidRPr="000B490C" w:rsidRDefault="005B63F0" w:rsidP="000B490C">
      <w:pPr>
        <w:spacing w:line="480" w:lineRule="auto"/>
        <w:jc w:val="center"/>
        <w:rPr>
          <w:rFonts w:ascii="Times New Roman" w:hAnsi="Times New Roman" w:cs="Times New Roman"/>
          <w:b/>
          <w:bCs/>
          <w:sz w:val="24"/>
          <w:szCs w:val="24"/>
        </w:rPr>
      </w:pPr>
      <w:r w:rsidRPr="000B490C">
        <w:rPr>
          <w:rFonts w:ascii="Times New Roman" w:hAnsi="Times New Roman" w:cs="Times New Roman"/>
          <w:b/>
          <w:bCs/>
          <w:sz w:val="24"/>
          <w:szCs w:val="24"/>
        </w:rPr>
        <w:t xml:space="preserve">Corporate Bankruptcy Early Warning </w:t>
      </w:r>
      <w:bookmarkStart w:id="0" w:name="OLE_LINK2"/>
      <w:r w:rsidRPr="000B490C">
        <w:rPr>
          <w:rFonts w:ascii="Times New Roman" w:hAnsi="Times New Roman" w:cs="Times New Roman"/>
          <w:b/>
          <w:bCs/>
          <w:sz w:val="24"/>
          <w:szCs w:val="24"/>
        </w:rPr>
        <w:t>S</w:t>
      </w:r>
      <w:bookmarkEnd w:id="0"/>
      <w:r w:rsidRPr="000B490C">
        <w:rPr>
          <w:rFonts w:ascii="Times New Roman" w:hAnsi="Times New Roman" w:cs="Times New Roman"/>
          <w:b/>
          <w:bCs/>
          <w:sz w:val="24"/>
          <w:szCs w:val="24"/>
        </w:rPr>
        <w:t>ystem</w:t>
      </w:r>
    </w:p>
    <w:p w14:paraId="33BA16C8" w14:textId="77777777" w:rsidR="000B490C" w:rsidRPr="002A3D8F" w:rsidRDefault="000B490C" w:rsidP="000B490C">
      <w:pPr>
        <w:spacing w:line="480" w:lineRule="auto"/>
        <w:rPr>
          <w:rFonts w:ascii="Times New Roman" w:hAnsi="Times New Roman" w:cs="Times New Roman"/>
          <w:sz w:val="24"/>
          <w:szCs w:val="24"/>
        </w:rPr>
      </w:pPr>
    </w:p>
    <w:p w14:paraId="4C31789E" w14:textId="7F64B43E" w:rsidR="005B63F0" w:rsidRDefault="005B63F0" w:rsidP="000B490C">
      <w:pPr>
        <w:spacing w:line="480" w:lineRule="auto"/>
        <w:jc w:val="center"/>
        <w:rPr>
          <w:rFonts w:ascii="Times New Roman" w:hAnsi="Times New Roman" w:cs="Times New Roman"/>
          <w:sz w:val="24"/>
          <w:szCs w:val="24"/>
        </w:rPr>
      </w:pPr>
      <w:r w:rsidRPr="002A3D8F">
        <w:rPr>
          <w:rFonts w:ascii="Times New Roman" w:hAnsi="Times New Roman" w:cs="Times New Roman"/>
          <w:sz w:val="24"/>
          <w:szCs w:val="24"/>
        </w:rPr>
        <w:t>Xinrui Shen</w:t>
      </w:r>
    </w:p>
    <w:p w14:paraId="6CC4D353" w14:textId="181B07B4" w:rsidR="000B490C" w:rsidRPr="002A3D8F" w:rsidRDefault="000B490C" w:rsidP="000B490C">
      <w:pPr>
        <w:spacing w:line="480" w:lineRule="auto"/>
        <w:jc w:val="center"/>
        <w:rPr>
          <w:rFonts w:ascii="Times New Roman" w:hAnsi="Times New Roman" w:cs="Times New Roman"/>
          <w:sz w:val="24"/>
          <w:szCs w:val="24"/>
        </w:rPr>
      </w:pPr>
      <w:r>
        <w:rPr>
          <w:rFonts w:ascii="Times New Roman" w:hAnsi="Times New Roman" w:cs="Times New Roman" w:hint="eastAsia"/>
          <w:sz w:val="24"/>
          <w:szCs w:val="24"/>
        </w:rPr>
        <w:t>1306233</w:t>
      </w:r>
    </w:p>
    <w:p w14:paraId="1BA0F70D" w14:textId="77777777" w:rsidR="000B490C" w:rsidRDefault="000B490C" w:rsidP="000B490C">
      <w:pPr>
        <w:spacing w:line="480" w:lineRule="auto"/>
        <w:jc w:val="center"/>
        <w:rPr>
          <w:rFonts w:ascii="Times New Roman" w:hAnsi="Times New Roman" w:cs="Times New Roman"/>
          <w:sz w:val="24"/>
          <w:szCs w:val="24"/>
        </w:rPr>
      </w:pPr>
      <w:r w:rsidRPr="000B490C">
        <w:rPr>
          <w:rFonts w:ascii="Times New Roman" w:hAnsi="Times New Roman" w:cs="Times New Roman"/>
          <w:sz w:val="24"/>
          <w:szCs w:val="24"/>
        </w:rPr>
        <w:t xml:space="preserve">Raza Rafique </w:t>
      </w:r>
    </w:p>
    <w:p w14:paraId="22A0D818" w14:textId="1B3D598B" w:rsidR="000B490C" w:rsidRDefault="000B490C" w:rsidP="000B490C">
      <w:pPr>
        <w:spacing w:line="480" w:lineRule="auto"/>
        <w:jc w:val="center"/>
        <w:rPr>
          <w:rFonts w:ascii="Times New Roman" w:hAnsi="Times New Roman" w:cs="Times New Roman"/>
          <w:sz w:val="24"/>
          <w:szCs w:val="24"/>
        </w:rPr>
      </w:pPr>
      <w:r w:rsidRPr="000B490C">
        <w:rPr>
          <w:rFonts w:ascii="Times New Roman" w:hAnsi="Times New Roman" w:cs="Times New Roman"/>
          <w:sz w:val="24"/>
          <w:szCs w:val="24"/>
        </w:rPr>
        <w:t>MGS* 3101* 01</w:t>
      </w:r>
      <w:r w:rsidRPr="002A3D8F">
        <w:rPr>
          <w:rFonts w:ascii="Times New Roman" w:hAnsi="Times New Roman" w:cs="Times New Roman"/>
          <w:sz w:val="24"/>
          <w:szCs w:val="24"/>
        </w:rPr>
        <w:t xml:space="preserve"> </w:t>
      </w:r>
    </w:p>
    <w:p w14:paraId="4704941A" w14:textId="0368244F" w:rsidR="005B63F0" w:rsidRPr="002A3D8F" w:rsidRDefault="005B63F0" w:rsidP="000B490C">
      <w:pPr>
        <w:spacing w:line="480" w:lineRule="auto"/>
        <w:jc w:val="center"/>
        <w:rPr>
          <w:rFonts w:ascii="Times New Roman" w:hAnsi="Times New Roman" w:cs="Times New Roman"/>
          <w:sz w:val="24"/>
          <w:szCs w:val="24"/>
        </w:rPr>
      </w:pPr>
      <w:r w:rsidRPr="002A3D8F">
        <w:rPr>
          <w:rFonts w:ascii="Times New Roman" w:hAnsi="Times New Roman" w:cs="Times New Roman"/>
          <w:sz w:val="24"/>
          <w:szCs w:val="24"/>
        </w:rPr>
        <w:t xml:space="preserve">December </w:t>
      </w:r>
      <w:r w:rsidR="000B490C">
        <w:rPr>
          <w:rFonts w:ascii="Times New Roman" w:hAnsi="Times New Roman" w:cs="Times New Roman" w:hint="eastAsia"/>
          <w:sz w:val="24"/>
          <w:szCs w:val="24"/>
        </w:rPr>
        <w:t>1</w:t>
      </w:r>
      <w:r w:rsidR="00CC7A78">
        <w:rPr>
          <w:rFonts w:ascii="Times New Roman" w:hAnsi="Times New Roman" w:cs="Times New Roman" w:hint="eastAsia"/>
          <w:sz w:val="24"/>
          <w:szCs w:val="24"/>
        </w:rPr>
        <w:t>3</w:t>
      </w:r>
      <w:r w:rsidRPr="002A3D8F">
        <w:rPr>
          <w:rFonts w:ascii="Times New Roman" w:hAnsi="Times New Roman" w:cs="Times New Roman"/>
          <w:sz w:val="24"/>
          <w:szCs w:val="24"/>
        </w:rPr>
        <w:t>, 2025</w:t>
      </w:r>
    </w:p>
    <w:p w14:paraId="15B295B8" w14:textId="77777777" w:rsidR="005B63F0" w:rsidRDefault="005B63F0" w:rsidP="002A3D8F">
      <w:pPr>
        <w:spacing w:line="480" w:lineRule="auto"/>
        <w:rPr>
          <w:rFonts w:ascii="Times New Roman" w:hAnsi="Times New Roman" w:cs="Times New Roman"/>
          <w:sz w:val="24"/>
          <w:szCs w:val="24"/>
        </w:rPr>
      </w:pPr>
    </w:p>
    <w:p w14:paraId="1C7C2240" w14:textId="77777777" w:rsidR="00987FB7" w:rsidRDefault="00987FB7" w:rsidP="002A3D8F">
      <w:pPr>
        <w:spacing w:line="480" w:lineRule="auto"/>
        <w:rPr>
          <w:rFonts w:ascii="Times New Roman" w:hAnsi="Times New Roman" w:cs="Times New Roman"/>
          <w:sz w:val="24"/>
          <w:szCs w:val="24"/>
        </w:rPr>
      </w:pPr>
    </w:p>
    <w:p w14:paraId="2668D038" w14:textId="77777777" w:rsidR="00987FB7" w:rsidRDefault="00987FB7" w:rsidP="002A3D8F">
      <w:pPr>
        <w:spacing w:line="480" w:lineRule="auto"/>
        <w:rPr>
          <w:rFonts w:ascii="Times New Roman" w:hAnsi="Times New Roman" w:cs="Times New Roman"/>
          <w:sz w:val="24"/>
          <w:szCs w:val="24"/>
        </w:rPr>
      </w:pPr>
    </w:p>
    <w:p w14:paraId="528A365E" w14:textId="77777777" w:rsidR="00987FB7" w:rsidRDefault="00987FB7" w:rsidP="002A3D8F">
      <w:pPr>
        <w:spacing w:line="480" w:lineRule="auto"/>
        <w:rPr>
          <w:rFonts w:ascii="Times New Roman" w:hAnsi="Times New Roman" w:cs="Times New Roman"/>
          <w:sz w:val="24"/>
          <w:szCs w:val="24"/>
        </w:rPr>
      </w:pPr>
    </w:p>
    <w:p w14:paraId="15D234D8" w14:textId="77777777" w:rsidR="00987FB7" w:rsidRDefault="00987FB7" w:rsidP="002A3D8F">
      <w:pPr>
        <w:spacing w:line="480" w:lineRule="auto"/>
        <w:rPr>
          <w:rFonts w:ascii="Times New Roman" w:hAnsi="Times New Roman" w:cs="Times New Roman"/>
          <w:sz w:val="24"/>
          <w:szCs w:val="24"/>
        </w:rPr>
      </w:pPr>
    </w:p>
    <w:p w14:paraId="4AB00923" w14:textId="77777777" w:rsidR="00987FB7" w:rsidRDefault="00987FB7" w:rsidP="002A3D8F">
      <w:pPr>
        <w:spacing w:line="480" w:lineRule="auto"/>
        <w:rPr>
          <w:rFonts w:ascii="Times New Roman" w:hAnsi="Times New Roman" w:cs="Times New Roman"/>
          <w:sz w:val="24"/>
          <w:szCs w:val="24"/>
        </w:rPr>
      </w:pPr>
    </w:p>
    <w:p w14:paraId="7112AE69" w14:textId="77777777" w:rsidR="00987FB7" w:rsidRDefault="00987FB7" w:rsidP="002A3D8F">
      <w:pPr>
        <w:spacing w:line="480" w:lineRule="auto"/>
        <w:rPr>
          <w:rFonts w:ascii="Times New Roman" w:hAnsi="Times New Roman" w:cs="Times New Roman"/>
          <w:sz w:val="24"/>
          <w:szCs w:val="24"/>
        </w:rPr>
      </w:pPr>
    </w:p>
    <w:p w14:paraId="1D118C64" w14:textId="77777777" w:rsidR="00987FB7" w:rsidRDefault="00987FB7" w:rsidP="002A3D8F">
      <w:pPr>
        <w:spacing w:line="480" w:lineRule="auto"/>
        <w:rPr>
          <w:rFonts w:ascii="Times New Roman" w:hAnsi="Times New Roman" w:cs="Times New Roman"/>
          <w:sz w:val="24"/>
          <w:szCs w:val="24"/>
        </w:rPr>
      </w:pPr>
    </w:p>
    <w:p w14:paraId="4DE69205" w14:textId="77777777" w:rsidR="00987FB7" w:rsidRPr="002A3D8F" w:rsidRDefault="00987FB7" w:rsidP="002A3D8F">
      <w:pPr>
        <w:spacing w:line="480" w:lineRule="auto"/>
        <w:rPr>
          <w:rFonts w:ascii="Times New Roman" w:hAnsi="Times New Roman" w:cs="Times New Roman"/>
          <w:sz w:val="24"/>
          <w:szCs w:val="24"/>
        </w:rPr>
      </w:pPr>
    </w:p>
    <w:p w14:paraId="7F267960" w14:textId="73E0D9B5" w:rsidR="005B63F0" w:rsidRPr="00E26D26" w:rsidRDefault="005B63F0" w:rsidP="002A3D8F">
      <w:pPr>
        <w:spacing w:line="480" w:lineRule="auto"/>
        <w:rPr>
          <w:rFonts w:ascii="Times New Roman" w:hAnsi="Times New Roman" w:cs="Times New Roman"/>
          <w:b/>
          <w:bCs/>
          <w:sz w:val="24"/>
          <w:szCs w:val="24"/>
        </w:rPr>
      </w:pPr>
      <w:bookmarkStart w:id="1" w:name="OLE_LINK6"/>
      <w:r w:rsidRPr="00E26D26">
        <w:rPr>
          <w:rFonts w:ascii="Times New Roman" w:hAnsi="Times New Roman" w:cs="Times New Roman"/>
          <w:b/>
          <w:bCs/>
          <w:sz w:val="24"/>
          <w:szCs w:val="24"/>
        </w:rPr>
        <w:lastRenderedPageBreak/>
        <w:t xml:space="preserve">Introduction  </w:t>
      </w:r>
    </w:p>
    <w:p w14:paraId="5131E774" w14:textId="75A926C3" w:rsidR="005B63F0" w:rsidRPr="002A3D8F" w:rsidRDefault="00DB7685" w:rsidP="001B7397">
      <w:pPr>
        <w:spacing w:line="480" w:lineRule="auto"/>
        <w:rPr>
          <w:rFonts w:ascii="Times New Roman" w:hAnsi="Times New Roman" w:cs="Times New Roman" w:hint="eastAsia"/>
          <w:sz w:val="24"/>
          <w:szCs w:val="24"/>
        </w:rPr>
      </w:pPr>
      <w:bookmarkStart w:id="2" w:name="OLE_LINK5"/>
      <w:r w:rsidRPr="00DB7685">
        <w:rPr>
          <w:rFonts w:ascii="Times New Roman" w:hAnsi="Times New Roman" w:cs="Times New Roman"/>
          <w:sz w:val="24"/>
          <w:szCs w:val="24"/>
        </w:rPr>
        <w:t>Corporate bankruptcy has become an increasingly critical issue in today’s unstable econom</w:t>
      </w:r>
      <w:r>
        <w:rPr>
          <w:rFonts w:ascii="Times New Roman" w:hAnsi="Times New Roman" w:cs="Times New Roman" w:hint="eastAsia"/>
          <w:sz w:val="24"/>
          <w:szCs w:val="24"/>
        </w:rPr>
        <w:t>y</w:t>
      </w:r>
      <w:r w:rsidRPr="00DB7685">
        <w:rPr>
          <w:rFonts w:ascii="Times New Roman" w:hAnsi="Times New Roman" w:cs="Times New Roman"/>
          <w:sz w:val="24"/>
          <w:szCs w:val="24"/>
        </w:rPr>
        <w:t xml:space="preserve">, where firms face </w:t>
      </w:r>
      <w:r>
        <w:rPr>
          <w:rFonts w:ascii="Times New Roman" w:hAnsi="Times New Roman" w:cs="Times New Roman" w:hint="eastAsia"/>
          <w:sz w:val="24"/>
          <w:szCs w:val="24"/>
        </w:rPr>
        <w:t>increasing</w:t>
      </w:r>
      <w:r w:rsidRPr="00DB7685">
        <w:rPr>
          <w:rFonts w:ascii="Times New Roman" w:hAnsi="Times New Roman" w:cs="Times New Roman"/>
          <w:sz w:val="24"/>
          <w:szCs w:val="24"/>
        </w:rPr>
        <w:t xml:space="preserve"> financial pressures from both internal weakening and external volatility. Companies may struggle with excessive debt, weakening cash flows, and operational inefficiencies; </w:t>
      </w:r>
      <w:r>
        <w:rPr>
          <w:rFonts w:ascii="Times New Roman" w:hAnsi="Times New Roman" w:cs="Times New Roman" w:hint="eastAsia"/>
          <w:sz w:val="24"/>
          <w:szCs w:val="24"/>
        </w:rPr>
        <w:t>at the same time,</w:t>
      </w:r>
      <w:r w:rsidRPr="00DB7685">
        <w:rPr>
          <w:rFonts w:ascii="Times New Roman" w:hAnsi="Times New Roman" w:cs="Times New Roman"/>
          <w:sz w:val="24"/>
          <w:szCs w:val="24"/>
        </w:rPr>
        <w:t xml:space="preserve"> macro-level factors such as rising interest rates, inflation, supply-chain disruptions, and higher capital costs amplify their vulnerability. These combined pressures mean that bankruptcy is seldom a sudden event. Instead, it evolves gradually through measurable financial deterioration that may be detectable long before formal insolvency occurs. Traditional evaluation </w:t>
      </w:r>
      <w:r w:rsidR="00241CF2" w:rsidRPr="00DB7685">
        <w:rPr>
          <w:rFonts w:ascii="Times New Roman" w:hAnsi="Times New Roman" w:cs="Times New Roman"/>
          <w:sz w:val="24"/>
          <w:szCs w:val="24"/>
        </w:rPr>
        <w:t xml:space="preserve">tools, </w:t>
      </w:r>
      <w:r w:rsidRPr="00DB7685">
        <w:rPr>
          <w:rFonts w:ascii="Times New Roman" w:hAnsi="Times New Roman" w:cs="Times New Roman"/>
          <w:sz w:val="24"/>
          <w:szCs w:val="24"/>
        </w:rPr>
        <w:t xml:space="preserve">especially manual ratio interpretation and </w:t>
      </w:r>
      <w:r w:rsidR="001B7397">
        <w:rPr>
          <w:rFonts w:ascii="Times New Roman" w:hAnsi="Times New Roman" w:cs="Times New Roman" w:hint="eastAsia"/>
          <w:sz w:val="24"/>
          <w:szCs w:val="24"/>
        </w:rPr>
        <w:t>t</w:t>
      </w:r>
      <w:r w:rsidR="001B7397" w:rsidRPr="001B7397">
        <w:rPr>
          <w:rFonts w:ascii="Times New Roman" w:hAnsi="Times New Roman" w:cs="Times New Roman"/>
          <w:sz w:val="24"/>
          <w:szCs w:val="24"/>
        </w:rPr>
        <w:t>raditional Altman Z-Score</w:t>
      </w:r>
      <w:r w:rsidR="00241CF2">
        <w:rPr>
          <w:rFonts w:ascii="Times New Roman" w:hAnsi="Times New Roman" w:cs="Times New Roman" w:hint="eastAsia"/>
          <w:sz w:val="24"/>
          <w:szCs w:val="24"/>
        </w:rPr>
        <w:t xml:space="preserve">, </w:t>
      </w:r>
      <w:r w:rsidRPr="00DB7685">
        <w:rPr>
          <w:rFonts w:ascii="Times New Roman" w:hAnsi="Times New Roman" w:cs="Times New Roman"/>
          <w:sz w:val="24"/>
          <w:szCs w:val="24"/>
        </w:rPr>
        <w:t>often fail to detect these early signals because they tend to rely on backward-looking data and subjective interpretation. As a result, stakeholders</w:t>
      </w:r>
      <w:r w:rsidR="00722570">
        <w:rPr>
          <w:rFonts w:ascii="Times New Roman" w:hAnsi="Times New Roman" w:cs="Times New Roman" w:hint="eastAsia"/>
          <w:sz w:val="24"/>
          <w:szCs w:val="24"/>
        </w:rPr>
        <w:t xml:space="preserve">, including </w:t>
      </w:r>
      <w:r w:rsidRPr="00DB7685">
        <w:rPr>
          <w:rFonts w:ascii="Times New Roman" w:hAnsi="Times New Roman" w:cs="Times New Roman"/>
          <w:sz w:val="24"/>
          <w:szCs w:val="24"/>
        </w:rPr>
        <w:t>banks, investors, regulators, and firms themselves</w:t>
      </w:r>
      <w:r w:rsidR="00722570">
        <w:rPr>
          <w:rFonts w:ascii="Times New Roman" w:hAnsi="Times New Roman" w:cs="Times New Roman" w:hint="eastAsia"/>
          <w:sz w:val="24"/>
          <w:szCs w:val="24"/>
        </w:rPr>
        <w:t>,</w:t>
      </w:r>
      <w:r w:rsidRPr="00DB7685">
        <w:rPr>
          <w:rFonts w:ascii="Times New Roman" w:hAnsi="Times New Roman" w:cs="Times New Roman"/>
          <w:sz w:val="24"/>
          <w:szCs w:val="24"/>
        </w:rPr>
        <w:t xml:space="preserve"> lack the timely </w:t>
      </w:r>
      <w:r w:rsidR="001B7397" w:rsidRPr="00DB7685">
        <w:rPr>
          <w:rFonts w:ascii="Times New Roman" w:hAnsi="Times New Roman" w:cs="Times New Roman"/>
          <w:sz w:val="24"/>
          <w:szCs w:val="24"/>
        </w:rPr>
        <w:t>insight</w:t>
      </w:r>
      <w:r w:rsidRPr="00DB7685">
        <w:rPr>
          <w:rFonts w:ascii="Times New Roman" w:hAnsi="Times New Roman" w:cs="Times New Roman"/>
          <w:sz w:val="24"/>
          <w:szCs w:val="24"/>
        </w:rPr>
        <w:t xml:space="preserve"> needed to </w:t>
      </w:r>
      <w:r w:rsidR="00241CF2">
        <w:rPr>
          <w:rFonts w:ascii="Times New Roman" w:hAnsi="Times New Roman" w:cs="Times New Roman"/>
          <w:sz w:val="24"/>
          <w:szCs w:val="24"/>
        </w:rPr>
        <w:t>act</w:t>
      </w:r>
      <w:r w:rsidRPr="00DB7685">
        <w:rPr>
          <w:rFonts w:ascii="Times New Roman" w:hAnsi="Times New Roman" w:cs="Times New Roman"/>
          <w:sz w:val="24"/>
          <w:szCs w:val="24"/>
        </w:rPr>
        <w:t xml:space="preserve"> before failure becomes unavoidable.</w:t>
      </w:r>
      <w:r w:rsidR="001B7397">
        <w:rPr>
          <w:rFonts w:ascii="Times New Roman" w:hAnsi="Times New Roman" w:cs="Times New Roman" w:hint="eastAsia"/>
          <w:sz w:val="24"/>
          <w:szCs w:val="24"/>
        </w:rPr>
        <w:t xml:space="preserve"> </w:t>
      </w:r>
      <w:r w:rsidR="00722570">
        <w:rPr>
          <w:rFonts w:ascii="Times New Roman" w:hAnsi="Times New Roman" w:cs="Times New Roman" w:hint="eastAsia"/>
          <w:sz w:val="24"/>
          <w:szCs w:val="24"/>
        </w:rPr>
        <w:t>In</w:t>
      </w:r>
      <w:r w:rsidR="001B7397">
        <w:rPr>
          <w:rFonts w:ascii="Times New Roman" w:hAnsi="Times New Roman" w:cs="Times New Roman" w:hint="eastAsia"/>
          <w:sz w:val="24"/>
          <w:szCs w:val="24"/>
        </w:rPr>
        <w:t xml:space="preserve"> the </w:t>
      </w:r>
      <w:r w:rsidR="001B7397">
        <w:rPr>
          <w:rFonts w:ascii="Times New Roman" w:hAnsi="Times New Roman" w:cs="Times New Roman"/>
          <w:sz w:val="24"/>
          <w:szCs w:val="24"/>
        </w:rPr>
        <w:t>background</w:t>
      </w:r>
      <w:r w:rsidR="001B7397">
        <w:rPr>
          <w:rFonts w:ascii="Times New Roman" w:hAnsi="Times New Roman" w:cs="Times New Roman" w:hint="eastAsia"/>
          <w:sz w:val="24"/>
          <w:szCs w:val="24"/>
        </w:rPr>
        <w:t xml:space="preserve">, the forecast of </w:t>
      </w:r>
      <w:r w:rsidR="00722570">
        <w:rPr>
          <w:rFonts w:ascii="Times New Roman" w:hAnsi="Times New Roman" w:cs="Times New Roman"/>
          <w:sz w:val="24"/>
          <w:szCs w:val="24"/>
        </w:rPr>
        <w:t>bankruptcy</w:t>
      </w:r>
      <w:r w:rsidR="001B7397">
        <w:rPr>
          <w:rFonts w:ascii="Times New Roman" w:hAnsi="Times New Roman" w:cs="Times New Roman" w:hint="eastAsia"/>
          <w:sz w:val="24"/>
          <w:szCs w:val="24"/>
        </w:rPr>
        <w:t xml:space="preserve"> is </w:t>
      </w:r>
      <w:r w:rsidR="00BD27F4">
        <w:rPr>
          <w:rFonts w:ascii="Times New Roman" w:hAnsi="Times New Roman" w:cs="Times New Roman"/>
          <w:sz w:val="24"/>
          <w:szCs w:val="24"/>
        </w:rPr>
        <w:t>essential</w:t>
      </w:r>
      <w:r w:rsidR="001B7397">
        <w:rPr>
          <w:rFonts w:ascii="Times New Roman" w:hAnsi="Times New Roman" w:cs="Times New Roman" w:hint="eastAsia"/>
          <w:sz w:val="24"/>
          <w:szCs w:val="24"/>
        </w:rPr>
        <w:t xml:space="preserve">. </w:t>
      </w:r>
      <w:r w:rsidR="00722570">
        <w:rPr>
          <w:rFonts w:ascii="Times New Roman" w:hAnsi="Times New Roman" w:cs="Times New Roman" w:hint="eastAsia"/>
          <w:sz w:val="24"/>
          <w:szCs w:val="24"/>
        </w:rPr>
        <w:t>T</w:t>
      </w:r>
      <w:r w:rsidR="005B63F0" w:rsidRPr="002A3D8F">
        <w:rPr>
          <w:rFonts w:ascii="Times New Roman" w:hAnsi="Times New Roman" w:cs="Times New Roman"/>
          <w:sz w:val="24"/>
          <w:szCs w:val="24"/>
        </w:rPr>
        <w:t>he central question</w:t>
      </w:r>
      <w:r w:rsidR="001B7397">
        <w:rPr>
          <w:rFonts w:ascii="Times New Roman" w:hAnsi="Times New Roman" w:cs="Times New Roman" w:hint="eastAsia"/>
          <w:sz w:val="24"/>
          <w:szCs w:val="24"/>
        </w:rPr>
        <w:t xml:space="preserve"> of </w:t>
      </w:r>
      <w:r w:rsidR="00722570">
        <w:rPr>
          <w:rFonts w:ascii="Times New Roman" w:hAnsi="Times New Roman" w:cs="Times New Roman" w:hint="eastAsia"/>
          <w:sz w:val="24"/>
          <w:szCs w:val="24"/>
        </w:rPr>
        <w:t>the</w:t>
      </w:r>
      <w:r w:rsidR="001B7397">
        <w:rPr>
          <w:rFonts w:ascii="Times New Roman" w:hAnsi="Times New Roman" w:cs="Times New Roman" w:hint="eastAsia"/>
          <w:sz w:val="24"/>
          <w:szCs w:val="24"/>
        </w:rPr>
        <w:t xml:space="preserve"> project is: </w:t>
      </w:r>
      <w:r w:rsidR="001B7397" w:rsidRPr="001B7397">
        <w:rPr>
          <w:rFonts w:ascii="Times New Roman" w:hAnsi="Times New Roman" w:cs="Times New Roman"/>
          <w:sz w:val="24"/>
          <w:szCs w:val="24"/>
        </w:rPr>
        <w:t>How can financial statement data be used with predictive analytics to effectively forecast the probability of corporate bankruptcy within the next few years?</w:t>
      </w:r>
    </w:p>
    <w:p w14:paraId="7E239165" w14:textId="4D893F24" w:rsidR="008F0954" w:rsidRDefault="008F0954" w:rsidP="002A3D8F">
      <w:pPr>
        <w:spacing w:line="480" w:lineRule="auto"/>
        <w:rPr>
          <w:rFonts w:ascii="Times New Roman" w:hAnsi="Times New Roman" w:cs="Times New Roman" w:hint="eastAsia"/>
          <w:sz w:val="24"/>
          <w:szCs w:val="24"/>
        </w:rPr>
      </w:pPr>
      <w:r>
        <w:rPr>
          <w:rFonts w:ascii="Times New Roman" w:hAnsi="Times New Roman" w:cs="Times New Roman" w:hint="eastAsia"/>
          <w:sz w:val="24"/>
          <w:szCs w:val="24"/>
        </w:rPr>
        <w:t>T</w:t>
      </w:r>
      <w:r w:rsidRPr="008F0954">
        <w:rPr>
          <w:rFonts w:ascii="Times New Roman" w:hAnsi="Times New Roman" w:cs="Times New Roman"/>
          <w:sz w:val="24"/>
          <w:szCs w:val="24"/>
        </w:rPr>
        <w:t xml:space="preserve">his study </w:t>
      </w:r>
      <w:r>
        <w:rPr>
          <w:rFonts w:ascii="Times New Roman" w:hAnsi="Times New Roman" w:cs="Times New Roman"/>
          <w:sz w:val="24"/>
          <w:szCs w:val="24"/>
        </w:rPr>
        <w:t>utilizes predictive analytics to analyze financial statement data, aiming</w:t>
      </w:r>
      <w:r w:rsidRPr="008F0954">
        <w:rPr>
          <w:rFonts w:ascii="Times New Roman" w:hAnsi="Times New Roman" w:cs="Times New Roman"/>
          <w:sz w:val="24"/>
          <w:szCs w:val="24"/>
        </w:rPr>
        <w:t xml:space="preserve"> to develop an interpretable and practical early-warning system for corporate bankruptcy. Using recent U.S. public company data</w:t>
      </w:r>
      <w:r w:rsidR="003878CD" w:rsidRPr="003878CD">
        <w:t xml:space="preserve"> </w:t>
      </w:r>
      <w:r w:rsidR="003878CD" w:rsidRPr="003878CD">
        <w:rPr>
          <w:rFonts w:ascii="Times New Roman" w:hAnsi="Times New Roman" w:cs="Times New Roman"/>
          <w:sz w:val="24"/>
          <w:szCs w:val="24"/>
        </w:rPr>
        <w:t>(Singh, 2023)</w:t>
      </w:r>
      <w:r w:rsidRPr="008F0954">
        <w:rPr>
          <w:rFonts w:ascii="Times New Roman" w:hAnsi="Times New Roman" w:cs="Times New Roman"/>
          <w:sz w:val="24"/>
          <w:szCs w:val="24"/>
        </w:rPr>
        <w:t xml:space="preserve">, the project systematically compares multiple modeling approaches and evaluates them not only on predictive performance but also on their ability to generate meaningful financial insights that can support real-world decision-making. The analysis </w:t>
      </w:r>
      <w:r>
        <w:rPr>
          <w:rFonts w:ascii="Times New Roman" w:hAnsi="Times New Roman" w:cs="Times New Roman"/>
          <w:sz w:val="24"/>
          <w:szCs w:val="24"/>
        </w:rPr>
        <w:t>extends beyond simple prediction to examine how financial distress unfolds through the deterioration of liquidity, efficiency, leverage, and cash flow</w:t>
      </w:r>
      <w:r w:rsidRPr="008F0954">
        <w:rPr>
          <w:rFonts w:ascii="Times New Roman" w:hAnsi="Times New Roman" w:cs="Times New Roman"/>
          <w:sz w:val="24"/>
          <w:szCs w:val="24"/>
        </w:rPr>
        <w:t xml:space="preserve">. By identifying which indicators matter most and how they interact over time, the study aims to bridge the gap between statistical modeling and actionable business intelligence. The following sections </w:t>
      </w:r>
      <w:r w:rsidRPr="008F0954">
        <w:rPr>
          <w:rFonts w:ascii="Times New Roman" w:hAnsi="Times New Roman" w:cs="Times New Roman"/>
          <w:sz w:val="24"/>
          <w:szCs w:val="24"/>
        </w:rPr>
        <w:lastRenderedPageBreak/>
        <w:t>describe the data and methods employed, present key empirical findings, and translate these insights into concrete recommendations for banks, investors, regulators, and corporate managers.</w:t>
      </w:r>
    </w:p>
    <w:p w14:paraId="366E12CE" w14:textId="04508597" w:rsidR="005B63F0" w:rsidRPr="00E26D26" w:rsidRDefault="005B63F0" w:rsidP="002A3D8F">
      <w:pPr>
        <w:spacing w:line="480" w:lineRule="auto"/>
        <w:rPr>
          <w:rFonts w:ascii="Times New Roman" w:hAnsi="Times New Roman" w:cs="Times New Roman"/>
          <w:b/>
          <w:bCs/>
          <w:sz w:val="24"/>
          <w:szCs w:val="24"/>
        </w:rPr>
      </w:pPr>
      <w:r w:rsidRPr="00E26D26">
        <w:rPr>
          <w:rFonts w:ascii="Times New Roman" w:hAnsi="Times New Roman" w:cs="Times New Roman"/>
          <w:b/>
          <w:bCs/>
          <w:sz w:val="24"/>
          <w:szCs w:val="24"/>
        </w:rPr>
        <w:t xml:space="preserve">Data and Methods  </w:t>
      </w:r>
    </w:p>
    <w:p w14:paraId="6DA3A26A" w14:textId="1FE8075C" w:rsidR="005B63F0" w:rsidRPr="002A3D8F" w:rsidRDefault="003830DA" w:rsidP="002A3D8F">
      <w:pPr>
        <w:spacing w:line="480" w:lineRule="auto"/>
        <w:rPr>
          <w:rFonts w:ascii="Times New Roman" w:hAnsi="Times New Roman" w:cs="Times New Roman"/>
          <w:sz w:val="24"/>
          <w:szCs w:val="24"/>
        </w:rPr>
      </w:pPr>
      <w:r w:rsidRPr="003830DA">
        <w:rPr>
          <w:rFonts w:ascii="Times New Roman" w:hAnsi="Times New Roman" w:cs="Times New Roman"/>
          <w:sz w:val="24"/>
          <w:szCs w:val="24"/>
        </w:rPr>
        <w:t>The analysis is based on the U.S. Company Bankruptcy Prediction dataset from Kaggle</w:t>
      </w:r>
      <w:r w:rsidR="003878CD" w:rsidRPr="003878CD">
        <w:t xml:space="preserve"> </w:t>
      </w:r>
      <w:r w:rsidR="003878CD" w:rsidRPr="003878CD">
        <w:rPr>
          <w:rFonts w:ascii="Times New Roman" w:hAnsi="Times New Roman" w:cs="Times New Roman"/>
          <w:sz w:val="24"/>
          <w:szCs w:val="24"/>
        </w:rPr>
        <w:t>(Singh, 2023)</w:t>
      </w:r>
      <w:r w:rsidRPr="003830DA">
        <w:rPr>
          <w:rFonts w:ascii="Times New Roman" w:hAnsi="Times New Roman" w:cs="Times New Roman"/>
          <w:sz w:val="24"/>
          <w:szCs w:val="24"/>
        </w:rPr>
        <w:t xml:space="preserve">, which includes nearly two decades of financial information from thousands of publicly traded firms. To ensure relevance to modern economic patterns and accounting structures, the study focuses on the years 2013 </w:t>
      </w:r>
      <w:r w:rsidR="00722570">
        <w:rPr>
          <w:rFonts w:ascii="Times New Roman" w:hAnsi="Times New Roman" w:cs="Times New Roman" w:hint="eastAsia"/>
          <w:sz w:val="24"/>
          <w:szCs w:val="24"/>
        </w:rPr>
        <w:t>-</w:t>
      </w:r>
      <w:r w:rsidRPr="003830DA">
        <w:rPr>
          <w:rFonts w:ascii="Times New Roman" w:hAnsi="Times New Roman" w:cs="Times New Roman"/>
          <w:sz w:val="24"/>
          <w:szCs w:val="24"/>
        </w:rPr>
        <w:t xml:space="preserve"> 2018, producing a refined dataset of 19,270 firm-year observations. A defining characteristic of bankruptcy prediction tasks is the extreme imbalance in outcomes: only 596 firms in the selected period </w:t>
      </w:r>
      <w:r w:rsidR="002C6DC1" w:rsidRPr="003830DA">
        <w:rPr>
          <w:rFonts w:ascii="Times New Roman" w:hAnsi="Times New Roman" w:cs="Times New Roman"/>
          <w:sz w:val="24"/>
          <w:szCs w:val="24"/>
        </w:rPr>
        <w:t>failed</w:t>
      </w:r>
      <w:r w:rsidRPr="003830DA">
        <w:rPr>
          <w:rFonts w:ascii="Times New Roman" w:hAnsi="Times New Roman" w:cs="Times New Roman"/>
          <w:sz w:val="24"/>
          <w:szCs w:val="24"/>
        </w:rPr>
        <w:t>, while more than 18,6</w:t>
      </w:r>
      <w:r w:rsidR="002C6DC1">
        <w:rPr>
          <w:rFonts w:ascii="Times New Roman" w:hAnsi="Times New Roman" w:cs="Times New Roman" w:hint="eastAsia"/>
          <w:sz w:val="24"/>
          <w:szCs w:val="24"/>
        </w:rPr>
        <w:t>74</w:t>
      </w:r>
      <w:r w:rsidRPr="003830DA">
        <w:rPr>
          <w:rFonts w:ascii="Times New Roman" w:hAnsi="Times New Roman" w:cs="Times New Roman"/>
          <w:sz w:val="24"/>
          <w:szCs w:val="24"/>
        </w:rPr>
        <w:t xml:space="preserve"> remained </w:t>
      </w:r>
      <w:r w:rsidR="002C6DC1" w:rsidRPr="003830DA">
        <w:rPr>
          <w:rFonts w:ascii="Times New Roman" w:hAnsi="Times New Roman" w:cs="Times New Roman"/>
          <w:sz w:val="24"/>
          <w:szCs w:val="24"/>
        </w:rPr>
        <w:t>solvent</w:t>
      </w:r>
      <w:r w:rsidRPr="003830DA">
        <w:rPr>
          <w:rFonts w:ascii="Times New Roman" w:hAnsi="Times New Roman" w:cs="Times New Roman"/>
          <w:sz w:val="24"/>
          <w:szCs w:val="24"/>
        </w:rPr>
        <w:t>. This imbalance mirrors the real economy, where bankruptcies are rare but extremely costly events, and it creates a methodological challenge for predictive modeling because typical accuracy metrics become misleading when almost all observations belong to the majority class.</w:t>
      </w:r>
    </w:p>
    <w:p w14:paraId="1EA42B8C" w14:textId="181F485D" w:rsidR="003830DA" w:rsidRPr="003830DA" w:rsidRDefault="003830DA" w:rsidP="003830DA">
      <w:pPr>
        <w:spacing w:line="480" w:lineRule="auto"/>
        <w:rPr>
          <w:rFonts w:ascii="Times New Roman" w:hAnsi="Times New Roman" w:cs="Times New Roman"/>
          <w:sz w:val="24"/>
          <w:szCs w:val="24"/>
        </w:rPr>
      </w:pPr>
      <w:r w:rsidRPr="003830DA">
        <w:rPr>
          <w:rFonts w:ascii="Times New Roman" w:hAnsi="Times New Roman" w:cs="Times New Roman"/>
          <w:sz w:val="24"/>
          <w:szCs w:val="24"/>
        </w:rPr>
        <w:t xml:space="preserve">Before modeling, the dataset underwent thorough cleaning to </w:t>
      </w:r>
      <w:r w:rsidR="00722570">
        <w:rPr>
          <w:rFonts w:ascii="Times New Roman" w:hAnsi="Times New Roman" w:cs="Times New Roman" w:hint="eastAsia"/>
          <w:sz w:val="24"/>
          <w:szCs w:val="24"/>
        </w:rPr>
        <w:t>ensure</w:t>
      </w:r>
      <w:r w:rsidRPr="003830DA">
        <w:rPr>
          <w:rFonts w:ascii="Times New Roman" w:hAnsi="Times New Roman" w:cs="Times New Roman"/>
          <w:sz w:val="24"/>
          <w:szCs w:val="24"/>
        </w:rPr>
        <w:t xml:space="preserve"> that there were no missing or duplicated values and that financial variables behaved consistently across firms </w:t>
      </w:r>
      <w:r w:rsidR="002C6DC1" w:rsidRPr="003830DA">
        <w:rPr>
          <w:rFonts w:ascii="Times New Roman" w:hAnsi="Times New Roman" w:cs="Times New Roman"/>
          <w:sz w:val="24"/>
          <w:szCs w:val="24"/>
        </w:rPr>
        <w:t xml:space="preserve">and </w:t>
      </w:r>
      <w:r w:rsidR="00722570">
        <w:rPr>
          <w:rFonts w:ascii="Times New Roman" w:hAnsi="Times New Roman" w:cs="Times New Roman" w:hint="eastAsia"/>
          <w:sz w:val="24"/>
          <w:szCs w:val="24"/>
        </w:rPr>
        <w:t>over time</w:t>
      </w:r>
      <w:r w:rsidRPr="003830DA">
        <w:rPr>
          <w:rFonts w:ascii="Times New Roman" w:hAnsi="Times New Roman" w:cs="Times New Roman"/>
          <w:sz w:val="24"/>
          <w:szCs w:val="24"/>
        </w:rPr>
        <w:t xml:space="preserve">. Financial ratios were then constructed to capture core dimensions of corporate health, including liquidity, leverage, profitability, efficiency, and cash flow performance. Exploratory analysis revealed a distinctive pattern: bankrupt firms tended to form clusters at the extreme </w:t>
      </w:r>
      <w:r w:rsidR="00BD27F4">
        <w:rPr>
          <w:rFonts w:ascii="Times New Roman" w:hAnsi="Times New Roman" w:cs="Times New Roman"/>
          <w:sz w:val="24"/>
          <w:szCs w:val="24"/>
        </w:rPr>
        <w:t>opposing</w:t>
      </w:r>
      <w:r w:rsidRPr="003830DA">
        <w:rPr>
          <w:rFonts w:ascii="Times New Roman" w:hAnsi="Times New Roman" w:cs="Times New Roman"/>
          <w:sz w:val="24"/>
          <w:szCs w:val="24"/>
        </w:rPr>
        <w:t xml:space="preserve"> ends of financial ratio distributions, separate from healthy firms. This separation suggested that ratios such as current ratio, asset turnover, operating margin, and debt-to-assets could serve as meaningful predictors of distress.</w:t>
      </w:r>
    </w:p>
    <w:p w14:paraId="1B275DD2" w14:textId="50D162C8" w:rsidR="003830DA" w:rsidRPr="003830DA" w:rsidRDefault="00991082" w:rsidP="003830DA">
      <w:pPr>
        <w:spacing w:line="480" w:lineRule="auto"/>
        <w:rPr>
          <w:rFonts w:ascii="Times New Roman" w:hAnsi="Times New Roman" w:cs="Times New Roman" w:hint="eastAsia"/>
          <w:sz w:val="24"/>
          <w:szCs w:val="24"/>
        </w:rPr>
      </w:pPr>
      <w:bookmarkStart w:id="3" w:name="OLE_LINK3"/>
      <w:r w:rsidRPr="00991082">
        <w:rPr>
          <w:rFonts w:ascii="Times New Roman" w:hAnsi="Times New Roman" w:cs="Times New Roman"/>
          <w:sz w:val="24"/>
          <w:szCs w:val="24"/>
        </w:rPr>
        <w:t>To address the bankruptcy prediction task, logistic regression and random forest models were first evaluated as benchmark</w:t>
      </w:r>
      <w:r w:rsidR="00722570">
        <w:rPr>
          <w:rFonts w:ascii="Times New Roman" w:hAnsi="Times New Roman" w:cs="Times New Roman" w:hint="eastAsia"/>
          <w:sz w:val="24"/>
          <w:szCs w:val="24"/>
        </w:rPr>
        <w:t>s</w:t>
      </w:r>
      <w:r w:rsidRPr="00991082">
        <w:rPr>
          <w:rFonts w:ascii="Times New Roman" w:hAnsi="Times New Roman" w:cs="Times New Roman"/>
          <w:sz w:val="24"/>
          <w:szCs w:val="24"/>
        </w:rPr>
        <w:t xml:space="preserve"> and advanced alternatives. Logistic regression was selected as a </w:t>
      </w:r>
      <w:r w:rsidRPr="00991082">
        <w:rPr>
          <w:rFonts w:ascii="Times New Roman" w:hAnsi="Times New Roman" w:cs="Times New Roman"/>
          <w:sz w:val="24"/>
          <w:szCs w:val="24"/>
        </w:rPr>
        <w:lastRenderedPageBreak/>
        <w:t xml:space="preserve">baseline method due to its simplicity and coefficient-based interpretability. However, </w:t>
      </w:r>
      <w:r w:rsidR="00722570">
        <w:rPr>
          <w:rFonts w:ascii="Times New Roman" w:hAnsi="Times New Roman" w:cs="Times New Roman" w:hint="eastAsia"/>
          <w:sz w:val="24"/>
          <w:szCs w:val="24"/>
        </w:rPr>
        <w:t>due to</w:t>
      </w:r>
      <w:r w:rsidRPr="00991082">
        <w:rPr>
          <w:rFonts w:ascii="Times New Roman" w:hAnsi="Times New Roman" w:cs="Times New Roman"/>
          <w:sz w:val="24"/>
          <w:szCs w:val="24"/>
        </w:rPr>
        <w:t xml:space="preserve"> the severe class imbalance present in the dataset, the model heavily favored the majority class and failed to identify bankrupt firms</w:t>
      </w:r>
      <w:r w:rsidR="00722570">
        <w:rPr>
          <w:rFonts w:ascii="Times New Roman" w:hAnsi="Times New Roman" w:cs="Times New Roman" w:hint="eastAsia"/>
          <w:sz w:val="24"/>
          <w:szCs w:val="24"/>
        </w:rPr>
        <w:t xml:space="preserve"> </w:t>
      </w:r>
      <w:r w:rsidR="00722570">
        <w:rPr>
          <w:rFonts w:ascii="Times New Roman" w:hAnsi="Times New Roman" w:cs="Times New Roman"/>
          <w:sz w:val="24"/>
          <w:szCs w:val="24"/>
        </w:rPr>
        <w:t>accurately</w:t>
      </w:r>
      <w:r w:rsidRPr="00991082">
        <w:rPr>
          <w:rFonts w:ascii="Times New Roman" w:hAnsi="Times New Roman" w:cs="Times New Roman"/>
          <w:sz w:val="24"/>
          <w:szCs w:val="24"/>
        </w:rPr>
        <w:t xml:space="preserve">. Despite achieving high overall accuracy, its recall for bankruptcy cases was effectively zero, indicating that the model was unable to distinguish distressed firms from healthy ones. This limitation significantly reduces its practical value, as a model that overlooks nearly all bankrupt firms cannot serve as an effective early-warning system. Random forest models improved overall discrimination by capturing non-linear relationships among financial variables and achieved relatively strong ranking performance. Nevertheless, the ensemble structure distributed importance across many weak predictors, making it </w:t>
      </w:r>
      <w:r w:rsidR="00722570">
        <w:rPr>
          <w:rFonts w:ascii="Times New Roman" w:hAnsi="Times New Roman" w:cs="Times New Roman" w:hint="eastAsia"/>
          <w:sz w:val="24"/>
          <w:szCs w:val="24"/>
        </w:rPr>
        <w:t>challenging</w:t>
      </w:r>
      <w:r w:rsidRPr="00991082">
        <w:rPr>
          <w:rFonts w:ascii="Times New Roman" w:hAnsi="Times New Roman" w:cs="Times New Roman"/>
          <w:sz w:val="24"/>
          <w:szCs w:val="24"/>
        </w:rPr>
        <w:t xml:space="preserve"> to extract </w:t>
      </w:r>
      <w:r w:rsidR="00722570">
        <w:rPr>
          <w:rFonts w:ascii="Times New Roman" w:hAnsi="Times New Roman" w:cs="Times New Roman" w:hint="eastAsia"/>
          <w:sz w:val="24"/>
          <w:szCs w:val="24"/>
        </w:rPr>
        <w:t>precise</w:t>
      </w:r>
      <w:r w:rsidRPr="00991082">
        <w:rPr>
          <w:rFonts w:ascii="Times New Roman" w:hAnsi="Times New Roman" w:cs="Times New Roman"/>
          <w:sz w:val="24"/>
          <w:szCs w:val="24"/>
        </w:rPr>
        <w:t xml:space="preserve"> and stable financial rules. From a business perspective, the lack of transparency and rule-based explanations limited its usefulness for stakeholders who require understandable and defensible decision criteria</w:t>
      </w:r>
      <w:r w:rsidR="003830DA" w:rsidRPr="003830DA">
        <w:rPr>
          <w:rFonts w:ascii="Times New Roman" w:hAnsi="Times New Roman" w:cs="Times New Roman"/>
          <w:sz w:val="24"/>
          <w:szCs w:val="24"/>
        </w:rPr>
        <w:t>.</w:t>
      </w:r>
    </w:p>
    <w:bookmarkEnd w:id="3"/>
    <w:p w14:paraId="61A16E44" w14:textId="6587D872" w:rsidR="005B63F0" w:rsidRPr="002A3D8F" w:rsidRDefault="00991082" w:rsidP="002A3D8F">
      <w:pPr>
        <w:spacing w:line="480" w:lineRule="auto"/>
        <w:rPr>
          <w:rFonts w:ascii="Times New Roman" w:hAnsi="Times New Roman" w:cs="Times New Roman"/>
          <w:sz w:val="24"/>
          <w:szCs w:val="24"/>
        </w:rPr>
      </w:pPr>
      <w:r w:rsidRPr="00991082">
        <w:rPr>
          <w:rFonts w:ascii="Times New Roman" w:hAnsi="Times New Roman" w:cs="Times New Roman"/>
          <w:sz w:val="24"/>
          <w:szCs w:val="24"/>
        </w:rPr>
        <w:t>The decision tree model was ultimately selected because it offered a more suitable balance between predictive capability and interpretability. Unlike the alternative models, the decision tree demonstrated a</w:t>
      </w:r>
      <w:r w:rsidR="0048188E">
        <w:rPr>
          <w:rFonts w:ascii="Times New Roman" w:hAnsi="Times New Roman" w:cs="Times New Roman" w:hint="eastAsia"/>
          <w:sz w:val="24"/>
          <w:szCs w:val="24"/>
        </w:rPr>
        <w:t xml:space="preserve">n apparent </w:t>
      </w:r>
      <w:r w:rsidRPr="00991082">
        <w:rPr>
          <w:rFonts w:ascii="Times New Roman" w:hAnsi="Times New Roman" w:cs="Times New Roman"/>
          <w:sz w:val="24"/>
          <w:szCs w:val="24"/>
        </w:rPr>
        <w:t xml:space="preserve">ability to identify a meaningful portion of financially distressed firms while maintaining reliable performance for healthy firms. More importantly, its rule-based structure translates financial data into intuitive decision paths based on liquidity, efficiency, leverage, and cash flow conditions. These paths closely mirror traditional </w:t>
      </w:r>
      <w:r w:rsidR="00BD27F4">
        <w:rPr>
          <w:rFonts w:ascii="Times New Roman" w:hAnsi="Times New Roman" w:cs="Times New Roman"/>
          <w:sz w:val="24"/>
          <w:szCs w:val="24"/>
        </w:rPr>
        <w:t>economic</w:t>
      </w:r>
      <w:r w:rsidRPr="00991082">
        <w:rPr>
          <w:rFonts w:ascii="Times New Roman" w:hAnsi="Times New Roman" w:cs="Times New Roman"/>
          <w:sz w:val="24"/>
          <w:szCs w:val="24"/>
        </w:rPr>
        <w:t xml:space="preserve"> analysis and managerial reasoning, making the results easy to understand and trust. Even when predictions are imperfect, the model provides valuable early-warning signals that prompt further investigation rather than serving as a final judgment. This transparency transforms the decision tree from a purely statistical classifier into a practical decision-support tool, enabling stakeholders to move from reactive responses to proactive risk management.</w:t>
      </w:r>
    </w:p>
    <w:p w14:paraId="09101ED1" w14:textId="4938E011" w:rsidR="005B63F0" w:rsidRPr="00E26D26" w:rsidRDefault="005B63F0" w:rsidP="002A3D8F">
      <w:pPr>
        <w:spacing w:line="480" w:lineRule="auto"/>
        <w:rPr>
          <w:rFonts w:ascii="Times New Roman" w:hAnsi="Times New Roman" w:cs="Times New Roman"/>
          <w:b/>
          <w:bCs/>
          <w:sz w:val="24"/>
          <w:szCs w:val="24"/>
        </w:rPr>
      </w:pPr>
      <w:r w:rsidRPr="00E26D26">
        <w:rPr>
          <w:rFonts w:ascii="Times New Roman" w:hAnsi="Times New Roman" w:cs="Times New Roman"/>
          <w:b/>
          <w:bCs/>
          <w:sz w:val="24"/>
          <w:szCs w:val="24"/>
        </w:rPr>
        <w:t xml:space="preserve">Key Business Insights from the Analysis  </w:t>
      </w:r>
    </w:p>
    <w:p w14:paraId="1D45AF32" w14:textId="29B32F3F" w:rsidR="00B94456" w:rsidRPr="00B94456" w:rsidRDefault="00B94456" w:rsidP="00B94456">
      <w:pPr>
        <w:spacing w:line="480" w:lineRule="auto"/>
        <w:rPr>
          <w:rFonts w:ascii="Times New Roman" w:hAnsi="Times New Roman" w:cs="Times New Roman"/>
          <w:sz w:val="24"/>
          <w:szCs w:val="24"/>
        </w:rPr>
      </w:pPr>
      <w:r w:rsidRPr="00B94456">
        <w:rPr>
          <w:rFonts w:ascii="Times New Roman" w:hAnsi="Times New Roman" w:cs="Times New Roman"/>
          <w:sz w:val="24"/>
          <w:szCs w:val="24"/>
        </w:rPr>
        <w:lastRenderedPageBreak/>
        <w:t xml:space="preserve">The results of the analysis highlight several </w:t>
      </w:r>
      <w:r w:rsidR="00BD27F4">
        <w:rPr>
          <w:rFonts w:ascii="Times New Roman" w:hAnsi="Times New Roman" w:cs="Times New Roman"/>
          <w:sz w:val="24"/>
          <w:szCs w:val="24"/>
        </w:rPr>
        <w:t>essential</w:t>
      </w:r>
      <w:r w:rsidRPr="00B94456">
        <w:rPr>
          <w:rFonts w:ascii="Times New Roman" w:hAnsi="Times New Roman" w:cs="Times New Roman"/>
          <w:sz w:val="24"/>
          <w:szCs w:val="24"/>
        </w:rPr>
        <w:t xml:space="preserve"> insights into how financial distress develops and which metrics serve as the earliest warning signs</w:t>
      </w:r>
      <w:r w:rsidR="0048188E">
        <w:rPr>
          <w:rFonts w:ascii="Times New Roman" w:hAnsi="Times New Roman" w:cs="Times New Roman" w:hint="eastAsia"/>
          <w:sz w:val="24"/>
          <w:szCs w:val="24"/>
        </w:rPr>
        <w:t xml:space="preserve"> of </w:t>
      </w:r>
      <w:r w:rsidR="0048188E">
        <w:rPr>
          <w:rFonts w:ascii="Times New Roman" w:hAnsi="Times New Roman" w:cs="Times New Roman"/>
          <w:sz w:val="24"/>
          <w:szCs w:val="24"/>
        </w:rPr>
        <w:t>distress</w:t>
      </w:r>
      <w:r w:rsidRPr="00B94456">
        <w:rPr>
          <w:rFonts w:ascii="Times New Roman" w:hAnsi="Times New Roman" w:cs="Times New Roman"/>
          <w:sz w:val="24"/>
          <w:szCs w:val="24"/>
        </w:rPr>
        <w:t>. The most significant finding is that liquidity consistently emerges as the earliest and strongest driver of bankruptcy probability. Firms with current ratios falling below approximately 1.05 exhibited sharply elevated failure risk, confirming the intuitive notion that the inability to meet short-term obligations is often the first visible sign of declining financial stability. Liquidity erosion also limits managerial flexibility, forcing firms to rely on expensive financing or short-term borrowing, which further accelerates deterioration.</w:t>
      </w:r>
    </w:p>
    <w:p w14:paraId="155EE41D" w14:textId="1BAF4F7F" w:rsidR="00B94456" w:rsidRPr="00B94456" w:rsidRDefault="00B94456" w:rsidP="00B94456">
      <w:pPr>
        <w:spacing w:line="480" w:lineRule="auto"/>
        <w:rPr>
          <w:rFonts w:ascii="Times New Roman" w:hAnsi="Times New Roman" w:cs="Times New Roman"/>
          <w:sz w:val="24"/>
          <w:szCs w:val="24"/>
        </w:rPr>
      </w:pPr>
      <w:r w:rsidRPr="00B94456">
        <w:rPr>
          <w:rFonts w:ascii="Times New Roman" w:hAnsi="Times New Roman" w:cs="Times New Roman"/>
          <w:sz w:val="24"/>
          <w:szCs w:val="24"/>
        </w:rPr>
        <w:t xml:space="preserve">A second insight concerns operational efficiency. </w:t>
      </w:r>
      <w:r w:rsidR="0054057F" w:rsidRPr="0048188E">
        <w:rPr>
          <w:rFonts w:ascii="Times New Roman" w:hAnsi="Times New Roman" w:cs="Times New Roman"/>
          <w:sz w:val="24"/>
          <w:szCs w:val="24"/>
        </w:rPr>
        <w:t>Declining</w:t>
      </w:r>
      <w:r w:rsidR="0048188E" w:rsidRPr="0048188E">
        <w:rPr>
          <w:rFonts w:ascii="Times New Roman" w:hAnsi="Times New Roman" w:cs="Times New Roman"/>
          <w:sz w:val="24"/>
          <w:szCs w:val="24"/>
        </w:rPr>
        <w:t xml:space="preserve"> in asset turnover, particularly when values fell below 0.87, frequently occurred in distressed firms and often preceded a </w:t>
      </w:r>
      <w:r w:rsidR="00BD27F4">
        <w:rPr>
          <w:rFonts w:ascii="Times New Roman" w:hAnsi="Times New Roman" w:cs="Times New Roman"/>
          <w:sz w:val="24"/>
          <w:szCs w:val="24"/>
        </w:rPr>
        <w:t>decrease</w:t>
      </w:r>
      <w:r w:rsidR="0048188E" w:rsidRPr="0048188E">
        <w:rPr>
          <w:rFonts w:ascii="Times New Roman" w:hAnsi="Times New Roman" w:cs="Times New Roman"/>
          <w:sz w:val="24"/>
          <w:szCs w:val="24"/>
        </w:rPr>
        <w:t xml:space="preserve"> in profitability</w:t>
      </w:r>
      <w:r w:rsidRPr="00B94456">
        <w:rPr>
          <w:rFonts w:ascii="Times New Roman" w:hAnsi="Times New Roman" w:cs="Times New Roman"/>
          <w:sz w:val="24"/>
          <w:szCs w:val="24"/>
        </w:rPr>
        <w:t>. Low efficiency can indicate rising inventories, weakening demand, or ineffective</w:t>
      </w:r>
      <w:r w:rsidR="0048188E">
        <w:rPr>
          <w:rFonts w:ascii="Times New Roman" w:hAnsi="Times New Roman" w:cs="Times New Roman" w:hint="eastAsia"/>
          <w:sz w:val="24"/>
          <w:szCs w:val="24"/>
        </w:rPr>
        <w:t xml:space="preserve"> </w:t>
      </w:r>
      <w:r w:rsidR="00BD27F4">
        <w:rPr>
          <w:rFonts w:ascii="Times New Roman" w:hAnsi="Times New Roman" w:cs="Times New Roman"/>
          <w:sz w:val="24"/>
          <w:szCs w:val="24"/>
        </w:rPr>
        <w:t>asset</w:t>
      </w:r>
      <w:r w:rsidR="0048188E">
        <w:rPr>
          <w:rFonts w:ascii="Times New Roman" w:hAnsi="Times New Roman" w:cs="Times New Roman" w:hint="eastAsia"/>
          <w:sz w:val="24"/>
          <w:szCs w:val="24"/>
        </w:rPr>
        <w:t xml:space="preserve"> utilization</w:t>
      </w:r>
      <w:r w:rsidRPr="00B94456">
        <w:rPr>
          <w:rFonts w:ascii="Times New Roman" w:hAnsi="Times New Roman" w:cs="Times New Roman"/>
          <w:sz w:val="24"/>
          <w:szCs w:val="24"/>
        </w:rPr>
        <w:t>, all of which contribute to declining cash generation. When paired with liquidity stress, inefficiency becomes a strong reinforcing mechanism that pushes firms toward distress.</w:t>
      </w:r>
    </w:p>
    <w:p w14:paraId="7461E2EE" w14:textId="61E2452F" w:rsidR="00B94456" w:rsidRPr="00B94456" w:rsidRDefault="00B94456" w:rsidP="00B94456">
      <w:pPr>
        <w:spacing w:line="480" w:lineRule="auto"/>
        <w:rPr>
          <w:rFonts w:ascii="Times New Roman" w:hAnsi="Times New Roman" w:cs="Times New Roman"/>
          <w:sz w:val="24"/>
          <w:szCs w:val="24"/>
        </w:rPr>
      </w:pPr>
      <w:r w:rsidRPr="00B94456">
        <w:rPr>
          <w:rFonts w:ascii="Times New Roman" w:hAnsi="Times New Roman" w:cs="Times New Roman"/>
          <w:sz w:val="24"/>
          <w:szCs w:val="24"/>
        </w:rPr>
        <w:t xml:space="preserve">Leverage plays a critical amplifying role. Firms with debt-to-asset ratios </w:t>
      </w:r>
      <w:r w:rsidR="00BD27F4">
        <w:rPr>
          <w:rFonts w:ascii="Times New Roman" w:hAnsi="Times New Roman" w:cs="Times New Roman"/>
          <w:sz w:val="24"/>
          <w:szCs w:val="24"/>
        </w:rPr>
        <w:t xml:space="preserve">exceeding </w:t>
      </w:r>
      <w:r w:rsidRPr="00B94456">
        <w:rPr>
          <w:rFonts w:ascii="Times New Roman" w:hAnsi="Times New Roman" w:cs="Times New Roman"/>
          <w:sz w:val="24"/>
          <w:szCs w:val="24"/>
        </w:rPr>
        <w:t xml:space="preserve">0.68 </w:t>
      </w:r>
      <w:r w:rsidR="00BD27F4">
        <w:rPr>
          <w:rFonts w:ascii="Times New Roman" w:hAnsi="Times New Roman" w:cs="Times New Roman"/>
          <w:sz w:val="24"/>
          <w:szCs w:val="24"/>
        </w:rPr>
        <w:t>exhibited a disproportionate likelihood of bankruptcy, particularly when accompanied by declining</w:t>
      </w:r>
      <w:r w:rsidRPr="00B94456">
        <w:rPr>
          <w:rFonts w:ascii="Times New Roman" w:hAnsi="Times New Roman" w:cs="Times New Roman"/>
          <w:sz w:val="24"/>
          <w:szCs w:val="24"/>
        </w:rPr>
        <w:t xml:space="preserve"> efficiency and weakening cash flow. High leverage increases fixed obligations, reduces resilience, and accelerates the descent into distress when operational conditions worsen. The model also showed that weak operating cash flow, particularly values near or below zero, significantly increased failure probability.</w:t>
      </w:r>
    </w:p>
    <w:p w14:paraId="6A4BBFB7" w14:textId="42843423" w:rsidR="00B94456" w:rsidRPr="00B94456" w:rsidRDefault="00B94456" w:rsidP="00B94456">
      <w:pPr>
        <w:spacing w:line="480" w:lineRule="auto"/>
        <w:rPr>
          <w:rFonts w:ascii="Times New Roman" w:hAnsi="Times New Roman" w:cs="Times New Roman"/>
          <w:sz w:val="24"/>
          <w:szCs w:val="24"/>
        </w:rPr>
      </w:pPr>
      <w:r w:rsidRPr="00B94456">
        <w:rPr>
          <w:rFonts w:ascii="Times New Roman" w:hAnsi="Times New Roman" w:cs="Times New Roman"/>
          <w:sz w:val="24"/>
          <w:szCs w:val="24"/>
        </w:rPr>
        <w:t xml:space="preserve">An </w:t>
      </w:r>
      <w:r w:rsidR="00BD27F4">
        <w:rPr>
          <w:rFonts w:ascii="Times New Roman" w:hAnsi="Times New Roman" w:cs="Times New Roman"/>
          <w:sz w:val="24"/>
          <w:szCs w:val="24"/>
        </w:rPr>
        <w:t>essential</w:t>
      </w:r>
      <w:r w:rsidRPr="00B94456">
        <w:rPr>
          <w:rFonts w:ascii="Times New Roman" w:hAnsi="Times New Roman" w:cs="Times New Roman"/>
          <w:sz w:val="24"/>
          <w:szCs w:val="24"/>
        </w:rPr>
        <w:t xml:space="preserve"> and somewhat counterintuitive finding is that company size does not </w:t>
      </w:r>
      <w:r w:rsidR="0048188E" w:rsidRPr="00B94456">
        <w:rPr>
          <w:rFonts w:ascii="Times New Roman" w:hAnsi="Times New Roman" w:cs="Times New Roman"/>
          <w:sz w:val="24"/>
          <w:szCs w:val="24"/>
        </w:rPr>
        <w:t>significantly</w:t>
      </w:r>
      <w:r w:rsidRPr="00B94456">
        <w:rPr>
          <w:rFonts w:ascii="Times New Roman" w:hAnsi="Times New Roman" w:cs="Times New Roman"/>
          <w:sz w:val="24"/>
          <w:szCs w:val="24"/>
        </w:rPr>
        <w:t xml:space="preserve"> protect against bankruptcy. Larger firms failed for the same structural reasons as smaller firms—declining liquidity, inefficient asset use, and excessive leverage. This challenges the assumption that scale inherently insulates firms from financial fragility</w:t>
      </w:r>
      <w:r w:rsidR="005F53C4">
        <w:rPr>
          <w:rFonts w:ascii="Times New Roman" w:hAnsi="Times New Roman" w:cs="Times New Roman" w:hint="eastAsia"/>
          <w:sz w:val="24"/>
          <w:szCs w:val="24"/>
        </w:rPr>
        <w:t>,</w:t>
      </w:r>
      <w:r w:rsidRPr="00B94456">
        <w:rPr>
          <w:rFonts w:ascii="Times New Roman" w:hAnsi="Times New Roman" w:cs="Times New Roman"/>
          <w:sz w:val="24"/>
          <w:szCs w:val="24"/>
        </w:rPr>
        <w:t xml:space="preserve"> </w:t>
      </w:r>
      <w:r w:rsidRPr="00B94456">
        <w:rPr>
          <w:rFonts w:ascii="Times New Roman" w:hAnsi="Times New Roman" w:cs="Times New Roman"/>
          <w:sz w:val="24"/>
          <w:szCs w:val="24"/>
        </w:rPr>
        <w:lastRenderedPageBreak/>
        <w:t>highlight</w:t>
      </w:r>
      <w:r w:rsidR="005F53C4">
        <w:rPr>
          <w:rFonts w:ascii="Times New Roman" w:hAnsi="Times New Roman" w:cs="Times New Roman" w:hint="eastAsia"/>
          <w:sz w:val="24"/>
          <w:szCs w:val="24"/>
        </w:rPr>
        <w:t>ing</w:t>
      </w:r>
      <w:r w:rsidRPr="00B94456">
        <w:rPr>
          <w:rFonts w:ascii="Times New Roman" w:hAnsi="Times New Roman" w:cs="Times New Roman"/>
          <w:sz w:val="24"/>
          <w:szCs w:val="24"/>
        </w:rPr>
        <w:t xml:space="preserve"> the importance of internal financial discipline regardless of size.</w:t>
      </w:r>
    </w:p>
    <w:p w14:paraId="5C6B0A75" w14:textId="1C85D147" w:rsidR="005B63F0" w:rsidRPr="002A3D8F" w:rsidRDefault="00B94456" w:rsidP="002A3D8F">
      <w:pPr>
        <w:spacing w:line="480" w:lineRule="auto"/>
        <w:rPr>
          <w:rFonts w:ascii="Times New Roman" w:hAnsi="Times New Roman" w:cs="Times New Roman" w:hint="eastAsia"/>
          <w:sz w:val="24"/>
          <w:szCs w:val="24"/>
        </w:rPr>
      </w:pPr>
      <w:bookmarkStart w:id="4" w:name="OLE_LINK4"/>
      <w:r w:rsidRPr="00B94456">
        <w:rPr>
          <w:rFonts w:ascii="Times New Roman" w:hAnsi="Times New Roman" w:cs="Times New Roman"/>
          <w:sz w:val="24"/>
          <w:szCs w:val="24"/>
        </w:rPr>
        <w:t xml:space="preserve">The decision tree model’s interpretability further revealed that distress typically follows a predictable sequence: early liquidity pressure is followed by weakening efficiency, which then triggers leverage stress and ultimately </w:t>
      </w:r>
      <w:r w:rsidR="005F53C4">
        <w:rPr>
          <w:rFonts w:ascii="Times New Roman" w:hAnsi="Times New Roman" w:cs="Times New Roman" w:hint="eastAsia"/>
          <w:sz w:val="24"/>
          <w:szCs w:val="24"/>
        </w:rPr>
        <w:t>leads to a collapse in</w:t>
      </w:r>
      <w:r w:rsidRPr="00B94456">
        <w:rPr>
          <w:rFonts w:ascii="Times New Roman" w:hAnsi="Times New Roman" w:cs="Times New Roman"/>
          <w:sz w:val="24"/>
          <w:szCs w:val="24"/>
        </w:rPr>
        <w:t xml:space="preserve"> profitability and cash flow. This sequence explains why traditional profitability-based assessments often </w:t>
      </w:r>
      <w:r w:rsidR="005F53C4">
        <w:rPr>
          <w:rFonts w:ascii="Times New Roman" w:hAnsi="Times New Roman" w:cs="Times New Roman" w:hint="eastAsia"/>
          <w:sz w:val="24"/>
          <w:szCs w:val="24"/>
        </w:rPr>
        <w:t>fail to</w:t>
      </w:r>
      <w:r w:rsidRPr="00B94456">
        <w:rPr>
          <w:rFonts w:ascii="Times New Roman" w:hAnsi="Times New Roman" w:cs="Times New Roman"/>
          <w:sz w:val="24"/>
          <w:szCs w:val="24"/>
        </w:rPr>
        <w:t xml:space="preserve"> </w:t>
      </w:r>
      <w:r w:rsidR="00BD27F4">
        <w:rPr>
          <w:rFonts w:ascii="Times New Roman" w:hAnsi="Times New Roman" w:cs="Times New Roman"/>
          <w:sz w:val="24"/>
          <w:szCs w:val="24"/>
        </w:rPr>
        <w:t xml:space="preserve">address </w:t>
      </w:r>
      <w:r w:rsidRPr="00B94456">
        <w:rPr>
          <w:rFonts w:ascii="Times New Roman" w:hAnsi="Times New Roman" w:cs="Times New Roman"/>
          <w:sz w:val="24"/>
          <w:szCs w:val="24"/>
        </w:rPr>
        <w:t xml:space="preserve">problems </w:t>
      </w:r>
      <w:r w:rsidR="005F53C4">
        <w:rPr>
          <w:rFonts w:ascii="Times New Roman" w:hAnsi="Times New Roman" w:cs="Times New Roman" w:hint="eastAsia"/>
          <w:sz w:val="24"/>
          <w:szCs w:val="24"/>
        </w:rPr>
        <w:t xml:space="preserve">in </w:t>
      </w:r>
      <w:r w:rsidR="00BD27F4">
        <w:rPr>
          <w:rFonts w:ascii="Times New Roman" w:hAnsi="Times New Roman" w:cs="Times New Roman"/>
          <w:sz w:val="24"/>
          <w:szCs w:val="24"/>
        </w:rPr>
        <w:t>a timely manner</w:t>
      </w:r>
      <w:r w:rsidRPr="00B94456">
        <w:rPr>
          <w:rFonts w:ascii="Times New Roman" w:hAnsi="Times New Roman" w:cs="Times New Roman"/>
          <w:sz w:val="24"/>
          <w:szCs w:val="24"/>
        </w:rPr>
        <w:t xml:space="preserve">. By contrast, predictive analytics </w:t>
      </w:r>
      <w:r w:rsidR="001F0589">
        <w:rPr>
          <w:rFonts w:ascii="Times New Roman" w:hAnsi="Times New Roman" w:cs="Times New Roman" w:hint="eastAsia"/>
          <w:sz w:val="24"/>
          <w:szCs w:val="24"/>
        </w:rPr>
        <w:t>identifies</w:t>
      </w:r>
      <w:r w:rsidRPr="00B94456">
        <w:rPr>
          <w:rFonts w:ascii="Times New Roman" w:hAnsi="Times New Roman" w:cs="Times New Roman"/>
          <w:sz w:val="24"/>
          <w:szCs w:val="24"/>
        </w:rPr>
        <w:t xml:space="preserve"> these early-stage signals months or even years before visible crisis symptoms appear, creating </w:t>
      </w:r>
      <w:r w:rsidR="001F0589">
        <w:rPr>
          <w:rFonts w:ascii="Times New Roman" w:hAnsi="Times New Roman" w:cs="Times New Roman" w:hint="eastAsia"/>
          <w:sz w:val="24"/>
          <w:szCs w:val="24"/>
        </w:rPr>
        <w:t>genuine</w:t>
      </w:r>
      <w:r w:rsidRPr="00B94456">
        <w:rPr>
          <w:rFonts w:ascii="Times New Roman" w:hAnsi="Times New Roman" w:cs="Times New Roman"/>
          <w:sz w:val="24"/>
          <w:szCs w:val="24"/>
        </w:rPr>
        <w:t xml:space="preserve"> opportunities for intervention.</w:t>
      </w:r>
    </w:p>
    <w:bookmarkEnd w:id="4"/>
    <w:p w14:paraId="117D12F5" w14:textId="0CB9C509" w:rsidR="005B63F0" w:rsidRPr="00E26D26" w:rsidRDefault="005B63F0" w:rsidP="002A3D8F">
      <w:pPr>
        <w:spacing w:line="480" w:lineRule="auto"/>
        <w:rPr>
          <w:rFonts w:ascii="Times New Roman" w:hAnsi="Times New Roman" w:cs="Times New Roman"/>
          <w:b/>
          <w:bCs/>
          <w:sz w:val="24"/>
          <w:szCs w:val="24"/>
        </w:rPr>
      </w:pPr>
      <w:r w:rsidRPr="00E26D26">
        <w:rPr>
          <w:rFonts w:ascii="Times New Roman" w:hAnsi="Times New Roman" w:cs="Times New Roman"/>
          <w:b/>
          <w:bCs/>
          <w:sz w:val="24"/>
          <w:szCs w:val="24"/>
        </w:rPr>
        <w:t xml:space="preserve">Business Recommendations  </w:t>
      </w:r>
    </w:p>
    <w:p w14:paraId="12A9E2F2" w14:textId="03DE90EE" w:rsidR="00B94456" w:rsidRPr="00B94456" w:rsidRDefault="00B94456" w:rsidP="00B94456">
      <w:pPr>
        <w:spacing w:line="480" w:lineRule="auto"/>
        <w:rPr>
          <w:rFonts w:ascii="Times New Roman" w:hAnsi="Times New Roman" w:cs="Times New Roman"/>
          <w:sz w:val="24"/>
          <w:szCs w:val="24"/>
        </w:rPr>
      </w:pPr>
      <w:r w:rsidRPr="00B94456">
        <w:rPr>
          <w:rFonts w:ascii="Times New Roman" w:hAnsi="Times New Roman" w:cs="Times New Roman"/>
          <w:sz w:val="24"/>
          <w:szCs w:val="24"/>
        </w:rPr>
        <w:t>The insights from this study carry substantial implications for banks, investors, regulators, and firms, each of whom faces significant exposure to bankruptcy risk. For banks and lenders, the most pressing challenge is reducing default rates. By incorporating predictive analytics</w:t>
      </w:r>
      <w:r w:rsidR="00BD27F4">
        <w:rPr>
          <w:rFonts w:ascii="Times New Roman" w:hAnsi="Times New Roman" w:cs="Times New Roman"/>
          <w:sz w:val="24"/>
          <w:szCs w:val="24"/>
        </w:rPr>
        <w:t>, particularly decision-tree-based early-warning systems, into credit evaluation processes, lenders can monitor key ratios, such as liquidity and leverage, in real-time</w:t>
      </w:r>
      <w:r w:rsidRPr="00B94456">
        <w:rPr>
          <w:rFonts w:ascii="Times New Roman" w:hAnsi="Times New Roman" w:cs="Times New Roman"/>
          <w:sz w:val="24"/>
          <w:szCs w:val="24"/>
        </w:rPr>
        <w:t xml:space="preserve">. When thresholds </w:t>
      </w:r>
      <w:r w:rsidR="00BD27F4">
        <w:rPr>
          <w:rFonts w:ascii="Times New Roman" w:hAnsi="Times New Roman" w:cs="Times New Roman"/>
          <w:sz w:val="24"/>
          <w:szCs w:val="24"/>
        </w:rPr>
        <w:t xml:space="preserve">such as a current ratio below 1.05 or a debt-to-asset ratio above 0.68 are breached, banks can intervene early through loan restructuring, increased collateral requirements, or enhanced monitoring, thereby </w:t>
      </w:r>
      <w:r w:rsidRPr="00B94456">
        <w:rPr>
          <w:rFonts w:ascii="Times New Roman" w:hAnsi="Times New Roman" w:cs="Times New Roman"/>
          <w:sz w:val="24"/>
          <w:szCs w:val="24"/>
        </w:rPr>
        <w:t>preventing losses that would otherwise emerge only when distress becomes irreversible.</w:t>
      </w:r>
    </w:p>
    <w:p w14:paraId="1A740BB3" w14:textId="738E62A2" w:rsidR="00B94456" w:rsidRPr="00B94456" w:rsidRDefault="00B94456" w:rsidP="00B94456">
      <w:pPr>
        <w:spacing w:line="480" w:lineRule="auto"/>
        <w:rPr>
          <w:rFonts w:ascii="Times New Roman" w:hAnsi="Times New Roman" w:cs="Times New Roman"/>
          <w:sz w:val="24"/>
          <w:szCs w:val="24"/>
        </w:rPr>
      </w:pPr>
      <w:r w:rsidRPr="00B94456">
        <w:rPr>
          <w:rFonts w:ascii="Times New Roman" w:hAnsi="Times New Roman" w:cs="Times New Roman"/>
          <w:sz w:val="24"/>
          <w:szCs w:val="24"/>
        </w:rPr>
        <w:t xml:space="preserve">Investors benefit from using these insights to avoid financially fragile firms disguised by temporary earnings stability. Integrating early-warning financial thresholds into screening criteria allows investors to identify companies whose underlying structure is deteriorating, even if short-term profits appear acceptable. This creates stronger, more resilient portfolios and reduces vulnerability to unexpected </w:t>
      </w:r>
      <w:r w:rsidR="00BD27F4">
        <w:rPr>
          <w:rFonts w:ascii="Times New Roman" w:hAnsi="Times New Roman" w:cs="Times New Roman"/>
          <w:sz w:val="24"/>
          <w:szCs w:val="24"/>
        </w:rPr>
        <w:t>declines in stock prices</w:t>
      </w:r>
      <w:r w:rsidRPr="00B94456">
        <w:rPr>
          <w:rFonts w:ascii="Times New Roman" w:hAnsi="Times New Roman" w:cs="Times New Roman"/>
          <w:sz w:val="24"/>
          <w:szCs w:val="24"/>
        </w:rPr>
        <w:t>.</w:t>
      </w:r>
    </w:p>
    <w:p w14:paraId="70F19332" w14:textId="77777777" w:rsidR="00B94456" w:rsidRPr="00B94456" w:rsidRDefault="00B94456" w:rsidP="00B94456">
      <w:pPr>
        <w:spacing w:line="480" w:lineRule="auto"/>
        <w:rPr>
          <w:rFonts w:ascii="Times New Roman" w:hAnsi="Times New Roman" w:cs="Times New Roman"/>
          <w:sz w:val="24"/>
          <w:szCs w:val="24"/>
        </w:rPr>
      </w:pPr>
      <w:r w:rsidRPr="00B94456">
        <w:rPr>
          <w:rFonts w:ascii="Times New Roman" w:hAnsi="Times New Roman" w:cs="Times New Roman"/>
          <w:sz w:val="24"/>
          <w:szCs w:val="24"/>
        </w:rPr>
        <w:t xml:space="preserve">Regulators can use these predictive indicators to monitor industry-level risk concentrations. </w:t>
      </w:r>
      <w:r w:rsidRPr="00B94456">
        <w:rPr>
          <w:rFonts w:ascii="Times New Roman" w:hAnsi="Times New Roman" w:cs="Times New Roman"/>
          <w:sz w:val="24"/>
          <w:szCs w:val="24"/>
        </w:rPr>
        <w:lastRenderedPageBreak/>
        <w:t>When multiple firms in a sector begin showing signs of liquidity stress or excessive leverage, regulators can issue early alerts, adjust capital requirements, or implement macroprudential policies aimed at preventing systemic crises before they spread.</w:t>
      </w:r>
    </w:p>
    <w:p w14:paraId="7EA8C7E6" w14:textId="18DC14CC" w:rsidR="00B94456" w:rsidRPr="00B94456" w:rsidRDefault="00B94456" w:rsidP="00B94456">
      <w:pPr>
        <w:spacing w:line="480" w:lineRule="auto"/>
        <w:rPr>
          <w:rFonts w:ascii="Times New Roman" w:hAnsi="Times New Roman" w:cs="Times New Roman"/>
          <w:sz w:val="24"/>
          <w:szCs w:val="24"/>
        </w:rPr>
      </w:pPr>
      <w:r w:rsidRPr="00B94456">
        <w:rPr>
          <w:rFonts w:ascii="Times New Roman" w:hAnsi="Times New Roman" w:cs="Times New Roman"/>
          <w:sz w:val="24"/>
          <w:szCs w:val="24"/>
        </w:rPr>
        <w:t xml:space="preserve">For firms themselves, the findings underscore the importance of adopting internal financial red-line policies. Firms should </w:t>
      </w:r>
      <w:r w:rsidR="00BD27F4">
        <w:rPr>
          <w:rFonts w:ascii="Times New Roman" w:hAnsi="Times New Roman" w:cs="Times New Roman"/>
          <w:sz w:val="24"/>
          <w:szCs w:val="24"/>
        </w:rPr>
        <w:t>closely monitor liquidity, efficiency, and leverage,</w:t>
      </w:r>
      <w:r w:rsidRPr="00B94456">
        <w:rPr>
          <w:rFonts w:ascii="Times New Roman" w:hAnsi="Times New Roman" w:cs="Times New Roman"/>
          <w:sz w:val="24"/>
          <w:szCs w:val="24"/>
        </w:rPr>
        <w:t xml:space="preserve"> and establish mandatory management responses when thresholds are crossed. Internal dashboards based on financial statement analytics can help firms detect changes in their risk position far earlier than traditional monthly or quarterly reports. This may lead to timely actions such as optimizing working capital, accelerating receivables collection, reducing discretionary spending, or renegotiating debt terms. By </w:t>
      </w:r>
      <w:r w:rsidR="00BD27F4">
        <w:rPr>
          <w:rFonts w:ascii="Times New Roman" w:hAnsi="Times New Roman" w:cs="Times New Roman"/>
          <w:sz w:val="24"/>
          <w:szCs w:val="24"/>
        </w:rPr>
        <w:t>leveraging predictive analytics as an internal decision-making tool, companies transition</w:t>
      </w:r>
      <w:r w:rsidRPr="00B94456">
        <w:rPr>
          <w:rFonts w:ascii="Times New Roman" w:hAnsi="Times New Roman" w:cs="Times New Roman"/>
          <w:sz w:val="24"/>
          <w:szCs w:val="24"/>
        </w:rPr>
        <w:t xml:space="preserve"> from reactive crisis management to proactive long-term financial resilience.</w:t>
      </w:r>
    </w:p>
    <w:p w14:paraId="0E8547AB" w14:textId="77777777" w:rsidR="00307A18" w:rsidRDefault="00307A18" w:rsidP="002A3D8F">
      <w:pPr>
        <w:spacing w:line="480" w:lineRule="auto"/>
        <w:rPr>
          <w:rFonts w:ascii="Times New Roman" w:hAnsi="Times New Roman" w:cs="Times New Roman"/>
          <w:b/>
          <w:bCs/>
          <w:sz w:val="24"/>
          <w:szCs w:val="24"/>
        </w:rPr>
      </w:pPr>
      <w:r w:rsidRPr="00307A18">
        <w:rPr>
          <w:rFonts w:ascii="Times New Roman" w:hAnsi="Times New Roman" w:cs="Times New Roman"/>
          <w:b/>
          <w:bCs/>
          <w:sz w:val="24"/>
          <w:szCs w:val="24"/>
        </w:rPr>
        <w:t>Limitations &amp; Future Directions</w:t>
      </w:r>
    </w:p>
    <w:p w14:paraId="6D1B6922" w14:textId="371A5F39" w:rsidR="00307A18" w:rsidRPr="000D0DD0" w:rsidRDefault="000D0DD0" w:rsidP="002A3D8F">
      <w:pPr>
        <w:spacing w:line="480" w:lineRule="auto"/>
        <w:rPr>
          <w:rFonts w:ascii="Times New Roman" w:hAnsi="Times New Roman" w:cs="Times New Roman"/>
          <w:sz w:val="24"/>
          <w:szCs w:val="24"/>
        </w:rPr>
      </w:pPr>
      <w:r w:rsidRPr="000D0DD0">
        <w:rPr>
          <w:rFonts w:ascii="Times New Roman" w:hAnsi="Times New Roman" w:cs="Times New Roman"/>
          <w:sz w:val="24"/>
          <w:szCs w:val="24"/>
        </w:rPr>
        <w:t xml:space="preserve">While this study provides strong analytical and managerial insights into corporate bankruptcy risk, several limitations should be acknowledged. First, the analysis relies solely on historical financial statement data from publicly traded U.S. firms, which, although highly interpretable, cannot fully capture qualitative factors such as management quality, governance practices, strategic decisions, or sudden external shocks. As a result, some forms of distress may remain undetected when financial statements appear temporarily stable. Second, the dataset ends in 2018 and therefore does not reflect more recent economic disruptions, including the COVID-19 pandemic, inflationary pressures, interest rate volatility, and supply-chain instability, which may have altered how financial distress emerges and propagates across firms and industries. Third, the deliberate choice of a decision tree model prioritizes interpretability and business usability over maximum predictive accuracy, implying a trade-off in environments </w:t>
      </w:r>
      <w:r w:rsidRPr="000D0DD0">
        <w:rPr>
          <w:rFonts w:ascii="Times New Roman" w:hAnsi="Times New Roman" w:cs="Times New Roman"/>
          <w:sz w:val="24"/>
          <w:szCs w:val="24"/>
        </w:rPr>
        <w:lastRenderedPageBreak/>
        <w:t>where automated precision may be preferred to transparent decision rules. Future research can address these limitations by incorporating more recent data, integrating qualitative and market-based indicators such as management disclosures or news sentiment, and exploring hybrid or time-series modeling approaches that balance interpretability with stronger predictive performance. From a business practice perspective, these extensions would support the development of real-time financial monitoring systems that continuously update risk signals, enabling earlier intervention and more resilient financial decision-making.</w:t>
      </w:r>
    </w:p>
    <w:p w14:paraId="1D12015D" w14:textId="2A1B1C5A" w:rsidR="005B63F0" w:rsidRPr="00E26D26" w:rsidRDefault="005B63F0" w:rsidP="002A3D8F">
      <w:pPr>
        <w:spacing w:line="480" w:lineRule="auto"/>
        <w:rPr>
          <w:rFonts w:ascii="Times New Roman" w:hAnsi="Times New Roman" w:cs="Times New Roman"/>
          <w:b/>
          <w:bCs/>
          <w:sz w:val="24"/>
          <w:szCs w:val="24"/>
        </w:rPr>
      </w:pPr>
      <w:r w:rsidRPr="00E26D26">
        <w:rPr>
          <w:rFonts w:ascii="Times New Roman" w:hAnsi="Times New Roman" w:cs="Times New Roman"/>
          <w:b/>
          <w:bCs/>
          <w:sz w:val="24"/>
          <w:szCs w:val="24"/>
        </w:rPr>
        <w:t xml:space="preserve">Conclusion  </w:t>
      </w:r>
    </w:p>
    <w:p w14:paraId="0577354A" w14:textId="3D121EC2" w:rsidR="005371B5" w:rsidRPr="005371B5" w:rsidRDefault="005371B5" w:rsidP="005371B5">
      <w:pPr>
        <w:spacing w:line="480" w:lineRule="auto"/>
        <w:rPr>
          <w:rFonts w:ascii="Times New Roman" w:hAnsi="Times New Roman" w:cs="Times New Roman"/>
          <w:sz w:val="24"/>
          <w:szCs w:val="24"/>
        </w:rPr>
      </w:pPr>
      <w:r w:rsidRPr="005371B5">
        <w:rPr>
          <w:rFonts w:ascii="Times New Roman" w:hAnsi="Times New Roman" w:cs="Times New Roman"/>
          <w:sz w:val="24"/>
          <w:szCs w:val="24"/>
        </w:rPr>
        <w:t>This project demonstrates that financial statement data, combined with predictive analytics, can provide meaningful and early insights into corporate bankruptcy risk. Liquidity, efficiency, leverage, and cash flow emerged as the most reliable predictors, forming a consistent pattern of deterioration that precedes failure. Decision trees</w:t>
      </w:r>
      <w:r w:rsidR="00BD27F4" w:rsidRPr="005371B5">
        <w:rPr>
          <w:rFonts w:ascii="Times New Roman" w:hAnsi="Times New Roman" w:cs="Times New Roman"/>
          <w:sz w:val="24"/>
          <w:szCs w:val="24"/>
        </w:rPr>
        <w:t xml:space="preserve"> </w:t>
      </w:r>
      <w:r w:rsidR="00BD27F4">
        <w:rPr>
          <w:rFonts w:ascii="Times New Roman" w:hAnsi="Times New Roman" w:cs="Times New Roman"/>
          <w:sz w:val="24"/>
          <w:szCs w:val="24"/>
        </w:rPr>
        <w:t>offer</w:t>
      </w:r>
      <w:r w:rsidRPr="005371B5">
        <w:rPr>
          <w:rFonts w:ascii="Times New Roman" w:hAnsi="Times New Roman" w:cs="Times New Roman"/>
          <w:sz w:val="24"/>
          <w:szCs w:val="24"/>
        </w:rPr>
        <w:t xml:space="preserve"> valuable interpretability that can be directly translated into practical rules for financial monitoring</w:t>
      </w:r>
      <w:r w:rsidR="00BD27F4">
        <w:rPr>
          <w:rFonts w:ascii="Times New Roman" w:hAnsi="Times New Roman" w:cs="Times New Roman"/>
          <w:sz w:val="24"/>
          <w:szCs w:val="24"/>
        </w:rPr>
        <w:t xml:space="preserve"> and analysis</w:t>
      </w:r>
      <w:r w:rsidRPr="005371B5">
        <w:rPr>
          <w:rFonts w:ascii="Times New Roman" w:hAnsi="Times New Roman" w:cs="Times New Roman"/>
          <w:sz w:val="24"/>
          <w:szCs w:val="24"/>
        </w:rPr>
        <w:t>. Beyond prediction, the study highlights how financial distress develops gradually through interconnected weaknesses, providing stakeholders with actionable opportunities to intervene long before failure becomes inevitable.</w:t>
      </w:r>
    </w:p>
    <w:p w14:paraId="38D1280C" w14:textId="7D24C53D" w:rsidR="00C05725" w:rsidRDefault="00BD27F4" w:rsidP="005371B5">
      <w:pPr>
        <w:spacing w:line="480" w:lineRule="auto"/>
        <w:rPr>
          <w:rFonts w:ascii="Times New Roman" w:hAnsi="Times New Roman" w:cs="Times New Roman"/>
          <w:sz w:val="24"/>
          <w:szCs w:val="24"/>
        </w:rPr>
      </w:pPr>
      <w:r>
        <w:rPr>
          <w:rFonts w:ascii="Times New Roman" w:hAnsi="Times New Roman" w:cs="Times New Roman"/>
          <w:sz w:val="24"/>
          <w:szCs w:val="24"/>
        </w:rPr>
        <w:t>Although the findings are robust, several areas for future development remain</w:t>
      </w:r>
      <w:r w:rsidR="005371B5" w:rsidRPr="005371B5">
        <w:rPr>
          <w:rFonts w:ascii="Times New Roman" w:hAnsi="Times New Roman" w:cs="Times New Roman"/>
          <w:sz w:val="24"/>
          <w:szCs w:val="24"/>
        </w:rPr>
        <w:t xml:space="preserve">. The dataset ends in 2018 and does not reflect the profound economic disruptions brought by the COVID-19 pandemic, inflation surges, or recent supply-chain shocks. Incorporating more recent data would test whether the same patterns persist under new economic conditions. Additionally, integrating qualitative information—such as management disclosures, news sentiment, or industry competitiveness—could enhance predictive power. Future research </w:t>
      </w:r>
      <w:r>
        <w:rPr>
          <w:rFonts w:ascii="Times New Roman" w:hAnsi="Times New Roman" w:cs="Times New Roman"/>
          <w:sz w:val="24"/>
          <w:szCs w:val="24"/>
        </w:rPr>
        <w:t>may also explore more advanced models, such as ensemble methods or time-series approaches, while maintaining</w:t>
      </w:r>
      <w:r w:rsidR="005371B5" w:rsidRPr="005371B5">
        <w:rPr>
          <w:rFonts w:ascii="Times New Roman" w:hAnsi="Times New Roman" w:cs="Times New Roman"/>
          <w:sz w:val="24"/>
          <w:szCs w:val="24"/>
        </w:rPr>
        <w:t xml:space="preserve"> interpretability for business use. From a </w:t>
      </w:r>
      <w:r>
        <w:rPr>
          <w:rFonts w:ascii="Times New Roman" w:hAnsi="Times New Roman" w:cs="Times New Roman"/>
          <w:sz w:val="24"/>
          <w:szCs w:val="24"/>
        </w:rPr>
        <w:t xml:space="preserve">business practice perspective, firms and </w:t>
      </w:r>
      <w:r>
        <w:rPr>
          <w:rFonts w:ascii="Times New Roman" w:hAnsi="Times New Roman" w:cs="Times New Roman"/>
          <w:sz w:val="24"/>
          <w:szCs w:val="24"/>
        </w:rPr>
        <w:lastRenderedPageBreak/>
        <w:t>financial institutions could move toward real-time financial monitoring systems that continuously update risk signals,</w:t>
      </w:r>
      <w:r w:rsidR="005371B5" w:rsidRPr="005371B5">
        <w:rPr>
          <w:rFonts w:ascii="Times New Roman" w:hAnsi="Times New Roman" w:cs="Times New Roman"/>
          <w:sz w:val="24"/>
          <w:szCs w:val="24"/>
        </w:rPr>
        <w:t xml:space="preserve"> rather than relying on annual reports. Such systems would represent the next step in turning predictive analytics into practical, preventive financial management.</w:t>
      </w:r>
      <w:bookmarkEnd w:id="2"/>
    </w:p>
    <w:p w14:paraId="32C4DFAC" w14:textId="77777777" w:rsidR="003878CD" w:rsidRDefault="003878CD" w:rsidP="005371B5">
      <w:pPr>
        <w:spacing w:line="480" w:lineRule="auto"/>
        <w:rPr>
          <w:rFonts w:ascii="Times New Roman" w:hAnsi="Times New Roman" w:cs="Times New Roman"/>
          <w:sz w:val="24"/>
          <w:szCs w:val="24"/>
        </w:rPr>
      </w:pPr>
    </w:p>
    <w:bookmarkEnd w:id="1"/>
    <w:p w14:paraId="496DE074" w14:textId="77777777" w:rsidR="003878CD" w:rsidRDefault="003878CD" w:rsidP="005371B5">
      <w:pPr>
        <w:spacing w:line="480" w:lineRule="auto"/>
        <w:rPr>
          <w:rFonts w:ascii="Times New Roman" w:hAnsi="Times New Roman" w:cs="Times New Roman"/>
          <w:sz w:val="24"/>
          <w:szCs w:val="24"/>
        </w:rPr>
      </w:pPr>
    </w:p>
    <w:p w14:paraId="5974C842" w14:textId="77777777" w:rsidR="003878CD" w:rsidRDefault="003878CD" w:rsidP="005371B5">
      <w:pPr>
        <w:spacing w:line="480" w:lineRule="auto"/>
        <w:rPr>
          <w:rFonts w:ascii="Times New Roman" w:hAnsi="Times New Roman" w:cs="Times New Roman"/>
          <w:sz w:val="24"/>
          <w:szCs w:val="24"/>
        </w:rPr>
      </w:pPr>
    </w:p>
    <w:p w14:paraId="7F1DB15C" w14:textId="77777777" w:rsidR="003878CD" w:rsidRDefault="003878CD" w:rsidP="005371B5">
      <w:pPr>
        <w:spacing w:line="480" w:lineRule="auto"/>
        <w:rPr>
          <w:rFonts w:ascii="Times New Roman" w:hAnsi="Times New Roman" w:cs="Times New Roman"/>
          <w:sz w:val="24"/>
          <w:szCs w:val="24"/>
        </w:rPr>
      </w:pPr>
    </w:p>
    <w:p w14:paraId="387335B3" w14:textId="77777777" w:rsidR="003878CD" w:rsidRDefault="003878CD" w:rsidP="005371B5">
      <w:pPr>
        <w:spacing w:line="480" w:lineRule="auto"/>
        <w:rPr>
          <w:rFonts w:ascii="Times New Roman" w:hAnsi="Times New Roman" w:cs="Times New Roman"/>
          <w:sz w:val="24"/>
          <w:szCs w:val="24"/>
        </w:rPr>
      </w:pPr>
    </w:p>
    <w:p w14:paraId="4453F63F" w14:textId="77777777" w:rsidR="003878CD" w:rsidRDefault="003878CD" w:rsidP="005371B5">
      <w:pPr>
        <w:spacing w:line="480" w:lineRule="auto"/>
        <w:rPr>
          <w:rFonts w:ascii="Times New Roman" w:hAnsi="Times New Roman" w:cs="Times New Roman"/>
          <w:sz w:val="24"/>
          <w:szCs w:val="24"/>
        </w:rPr>
      </w:pPr>
    </w:p>
    <w:p w14:paraId="6FA203E7" w14:textId="77777777" w:rsidR="003878CD" w:rsidRDefault="003878CD" w:rsidP="005371B5">
      <w:pPr>
        <w:spacing w:line="480" w:lineRule="auto"/>
        <w:rPr>
          <w:rFonts w:ascii="Times New Roman" w:hAnsi="Times New Roman" w:cs="Times New Roman"/>
          <w:sz w:val="24"/>
          <w:szCs w:val="24"/>
        </w:rPr>
      </w:pPr>
    </w:p>
    <w:p w14:paraId="080188D8" w14:textId="77777777" w:rsidR="003878CD" w:rsidRDefault="003878CD" w:rsidP="005371B5">
      <w:pPr>
        <w:spacing w:line="480" w:lineRule="auto"/>
        <w:rPr>
          <w:rFonts w:ascii="Times New Roman" w:hAnsi="Times New Roman" w:cs="Times New Roman"/>
          <w:sz w:val="24"/>
          <w:szCs w:val="24"/>
        </w:rPr>
      </w:pPr>
    </w:p>
    <w:p w14:paraId="0CD4B48C" w14:textId="77777777" w:rsidR="003878CD" w:rsidRDefault="003878CD" w:rsidP="005371B5">
      <w:pPr>
        <w:spacing w:line="480" w:lineRule="auto"/>
        <w:rPr>
          <w:rFonts w:ascii="Times New Roman" w:hAnsi="Times New Roman" w:cs="Times New Roman"/>
          <w:sz w:val="24"/>
          <w:szCs w:val="24"/>
        </w:rPr>
      </w:pPr>
    </w:p>
    <w:p w14:paraId="5F8D8DB6" w14:textId="77777777" w:rsidR="003878CD" w:rsidRDefault="003878CD" w:rsidP="005371B5">
      <w:pPr>
        <w:spacing w:line="480" w:lineRule="auto"/>
        <w:rPr>
          <w:rFonts w:ascii="Times New Roman" w:hAnsi="Times New Roman" w:cs="Times New Roman"/>
          <w:sz w:val="24"/>
          <w:szCs w:val="24"/>
        </w:rPr>
      </w:pPr>
    </w:p>
    <w:p w14:paraId="2BA37240" w14:textId="77777777" w:rsidR="003878CD" w:rsidRDefault="003878CD" w:rsidP="005371B5">
      <w:pPr>
        <w:spacing w:line="480" w:lineRule="auto"/>
        <w:rPr>
          <w:rFonts w:ascii="Times New Roman" w:hAnsi="Times New Roman" w:cs="Times New Roman"/>
          <w:sz w:val="24"/>
          <w:szCs w:val="24"/>
        </w:rPr>
      </w:pPr>
    </w:p>
    <w:p w14:paraId="402BD92E" w14:textId="77777777" w:rsidR="003878CD" w:rsidRDefault="003878CD" w:rsidP="005371B5">
      <w:pPr>
        <w:spacing w:line="480" w:lineRule="auto"/>
        <w:rPr>
          <w:rFonts w:ascii="Times New Roman" w:hAnsi="Times New Roman" w:cs="Times New Roman"/>
          <w:sz w:val="24"/>
          <w:szCs w:val="24"/>
        </w:rPr>
      </w:pPr>
    </w:p>
    <w:p w14:paraId="48C0F38C" w14:textId="77777777" w:rsidR="0054057F" w:rsidRDefault="0054057F" w:rsidP="005371B5">
      <w:pPr>
        <w:spacing w:line="480" w:lineRule="auto"/>
        <w:rPr>
          <w:rFonts w:ascii="Times New Roman" w:hAnsi="Times New Roman" w:cs="Times New Roman"/>
          <w:sz w:val="24"/>
          <w:szCs w:val="24"/>
        </w:rPr>
      </w:pPr>
    </w:p>
    <w:p w14:paraId="5E47D73F" w14:textId="77777777" w:rsidR="0054057F" w:rsidRDefault="0054057F" w:rsidP="005371B5">
      <w:pPr>
        <w:spacing w:line="480" w:lineRule="auto"/>
        <w:rPr>
          <w:rFonts w:ascii="Times New Roman" w:hAnsi="Times New Roman" w:cs="Times New Roman"/>
          <w:sz w:val="24"/>
          <w:szCs w:val="24"/>
        </w:rPr>
      </w:pPr>
    </w:p>
    <w:p w14:paraId="3C6B8AB5" w14:textId="77777777" w:rsidR="0054057F" w:rsidRDefault="0054057F" w:rsidP="005371B5">
      <w:pPr>
        <w:spacing w:line="480" w:lineRule="auto"/>
        <w:rPr>
          <w:rFonts w:ascii="Times New Roman" w:hAnsi="Times New Roman" w:cs="Times New Roman"/>
          <w:sz w:val="24"/>
          <w:szCs w:val="24"/>
        </w:rPr>
      </w:pPr>
    </w:p>
    <w:p w14:paraId="064A0F3D" w14:textId="77777777" w:rsidR="003878CD" w:rsidRDefault="003878CD" w:rsidP="005371B5">
      <w:pPr>
        <w:spacing w:line="480" w:lineRule="auto"/>
        <w:rPr>
          <w:rFonts w:ascii="Times New Roman" w:hAnsi="Times New Roman" w:cs="Times New Roman"/>
          <w:sz w:val="24"/>
          <w:szCs w:val="24"/>
        </w:rPr>
      </w:pPr>
    </w:p>
    <w:p w14:paraId="1CB1D260" w14:textId="7B9DD3EF" w:rsidR="003878CD" w:rsidRPr="003878CD" w:rsidRDefault="003878CD" w:rsidP="003878CD">
      <w:pPr>
        <w:spacing w:line="480" w:lineRule="auto"/>
        <w:jc w:val="center"/>
        <w:rPr>
          <w:rFonts w:ascii="Times New Roman" w:hAnsi="Times New Roman" w:cs="Times New Roman"/>
          <w:b/>
          <w:bCs/>
          <w:sz w:val="24"/>
          <w:szCs w:val="24"/>
        </w:rPr>
      </w:pPr>
      <w:r w:rsidRPr="003878CD">
        <w:rPr>
          <w:rFonts w:ascii="Times New Roman" w:hAnsi="Times New Roman" w:cs="Times New Roman" w:hint="eastAsia"/>
          <w:b/>
          <w:bCs/>
          <w:sz w:val="24"/>
          <w:szCs w:val="24"/>
        </w:rPr>
        <w:lastRenderedPageBreak/>
        <w:t>Reference</w:t>
      </w:r>
    </w:p>
    <w:p w14:paraId="513B9919" w14:textId="77777777" w:rsidR="003878CD" w:rsidRPr="003878CD" w:rsidRDefault="003878CD" w:rsidP="003878CD">
      <w:pPr>
        <w:spacing w:line="480" w:lineRule="auto"/>
        <w:ind w:left="720" w:hanging="720"/>
        <w:rPr>
          <w:rFonts w:ascii="Times New Roman" w:hAnsi="Times New Roman" w:cs="Times New Roman"/>
          <w:sz w:val="24"/>
          <w:szCs w:val="24"/>
        </w:rPr>
      </w:pPr>
      <w:r w:rsidRPr="003878CD">
        <w:rPr>
          <w:rFonts w:ascii="Times New Roman" w:hAnsi="Times New Roman" w:cs="Times New Roman"/>
          <w:sz w:val="24"/>
          <w:szCs w:val="24"/>
        </w:rPr>
        <w:t xml:space="preserve">Singh, U. (2023, May 27). </w:t>
      </w:r>
      <w:r w:rsidRPr="003878CD">
        <w:rPr>
          <w:rFonts w:ascii="Times New Roman" w:hAnsi="Times New Roman" w:cs="Times New Roman"/>
          <w:i/>
          <w:iCs/>
          <w:sz w:val="24"/>
          <w:szCs w:val="24"/>
        </w:rPr>
        <w:t>US company Bankruptcy Prediction Dataset</w:t>
      </w:r>
      <w:r w:rsidRPr="003878CD">
        <w:rPr>
          <w:rFonts w:ascii="Times New Roman" w:hAnsi="Times New Roman" w:cs="Times New Roman"/>
          <w:sz w:val="24"/>
          <w:szCs w:val="24"/>
        </w:rPr>
        <w:t xml:space="preserve">. Kaggle. https://www.kaggle.com/datasets/utkarshx27/american-companies-bankruptcy-prediction-dataset/data </w:t>
      </w:r>
    </w:p>
    <w:p w14:paraId="38231D17" w14:textId="77777777" w:rsidR="003878CD" w:rsidRPr="002A3D8F" w:rsidRDefault="003878CD" w:rsidP="005371B5">
      <w:pPr>
        <w:spacing w:line="480" w:lineRule="auto"/>
        <w:rPr>
          <w:rFonts w:ascii="Times New Roman" w:hAnsi="Times New Roman" w:cs="Times New Roman" w:hint="eastAsia"/>
          <w:sz w:val="24"/>
          <w:szCs w:val="24"/>
        </w:rPr>
      </w:pPr>
    </w:p>
    <w:sectPr w:rsidR="003878CD" w:rsidRPr="002A3D8F" w:rsidSect="002A3D8F">
      <w:pgSz w:w="11906" w:h="16838"/>
      <w:pgMar w:top="1418" w:right="1418" w:bottom="1418" w:left="1418"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E51D8" w14:textId="77777777" w:rsidR="008D52AC" w:rsidRDefault="008D52AC" w:rsidP="00E26D26">
      <w:pPr>
        <w:spacing w:after="0" w:line="240" w:lineRule="auto"/>
      </w:pPr>
      <w:r>
        <w:separator/>
      </w:r>
    </w:p>
  </w:endnote>
  <w:endnote w:type="continuationSeparator" w:id="0">
    <w:p w14:paraId="72F39EBF" w14:textId="77777777" w:rsidR="008D52AC" w:rsidRDefault="008D52AC" w:rsidP="00E26D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ED93E" w14:textId="77777777" w:rsidR="008D52AC" w:rsidRDefault="008D52AC" w:rsidP="00E26D26">
      <w:pPr>
        <w:spacing w:after="0" w:line="240" w:lineRule="auto"/>
      </w:pPr>
      <w:r>
        <w:separator/>
      </w:r>
    </w:p>
  </w:footnote>
  <w:footnote w:type="continuationSeparator" w:id="0">
    <w:p w14:paraId="2498C26A" w14:textId="77777777" w:rsidR="008D52AC" w:rsidRDefault="008D52AC" w:rsidP="00E26D2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3F0"/>
    <w:rsid w:val="00087729"/>
    <w:rsid w:val="000A51D0"/>
    <w:rsid w:val="000B490C"/>
    <w:rsid w:val="000D0DD0"/>
    <w:rsid w:val="001B7397"/>
    <w:rsid w:val="001F0589"/>
    <w:rsid w:val="00241CF2"/>
    <w:rsid w:val="002A3D8F"/>
    <w:rsid w:val="002C6DC1"/>
    <w:rsid w:val="00307A18"/>
    <w:rsid w:val="003830DA"/>
    <w:rsid w:val="003878CD"/>
    <w:rsid w:val="0048188E"/>
    <w:rsid w:val="005243B2"/>
    <w:rsid w:val="00532474"/>
    <w:rsid w:val="005371B5"/>
    <w:rsid w:val="005377A2"/>
    <w:rsid w:val="0054057F"/>
    <w:rsid w:val="005B63F0"/>
    <w:rsid w:val="005F53C4"/>
    <w:rsid w:val="006016CC"/>
    <w:rsid w:val="00613DA2"/>
    <w:rsid w:val="00722570"/>
    <w:rsid w:val="008810F7"/>
    <w:rsid w:val="008D48DA"/>
    <w:rsid w:val="008D52AC"/>
    <w:rsid w:val="008F0954"/>
    <w:rsid w:val="008F3E04"/>
    <w:rsid w:val="009842C7"/>
    <w:rsid w:val="00987FB7"/>
    <w:rsid w:val="00991082"/>
    <w:rsid w:val="00A3646D"/>
    <w:rsid w:val="00B94456"/>
    <w:rsid w:val="00BD27F4"/>
    <w:rsid w:val="00C05725"/>
    <w:rsid w:val="00C24EB3"/>
    <w:rsid w:val="00CC7A78"/>
    <w:rsid w:val="00DB7685"/>
    <w:rsid w:val="00E26D2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6F45F7"/>
  <w15:chartTrackingRefBased/>
  <w15:docId w15:val="{7A5A37DD-BC57-4663-A5B3-F27E3A027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5B63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63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63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63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63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63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63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63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63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63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63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63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63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63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63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63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63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63F0"/>
    <w:rPr>
      <w:rFonts w:eastAsiaTheme="majorEastAsia" w:cstheme="majorBidi"/>
      <w:color w:val="272727" w:themeColor="text1" w:themeTint="D8"/>
    </w:rPr>
  </w:style>
  <w:style w:type="paragraph" w:styleId="Title">
    <w:name w:val="Title"/>
    <w:basedOn w:val="Normal"/>
    <w:next w:val="Normal"/>
    <w:link w:val="TitleChar"/>
    <w:uiPriority w:val="10"/>
    <w:qFormat/>
    <w:rsid w:val="005B63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63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63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63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63F0"/>
    <w:pPr>
      <w:spacing w:before="160"/>
      <w:jc w:val="center"/>
    </w:pPr>
    <w:rPr>
      <w:i/>
      <w:iCs/>
      <w:color w:val="404040" w:themeColor="text1" w:themeTint="BF"/>
    </w:rPr>
  </w:style>
  <w:style w:type="character" w:customStyle="1" w:styleId="QuoteChar">
    <w:name w:val="Quote Char"/>
    <w:basedOn w:val="DefaultParagraphFont"/>
    <w:link w:val="Quote"/>
    <w:uiPriority w:val="29"/>
    <w:rsid w:val="005B63F0"/>
    <w:rPr>
      <w:i/>
      <w:iCs/>
      <w:color w:val="404040" w:themeColor="text1" w:themeTint="BF"/>
    </w:rPr>
  </w:style>
  <w:style w:type="paragraph" w:styleId="ListParagraph">
    <w:name w:val="List Paragraph"/>
    <w:basedOn w:val="Normal"/>
    <w:uiPriority w:val="34"/>
    <w:qFormat/>
    <w:rsid w:val="005B63F0"/>
    <w:pPr>
      <w:ind w:left="720"/>
      <w:contextualSpacing/>
    </w:pPr>
  </w:style>
  <w:style w:type="character" w:styleId="IntenseEmphasis">
    <w:name w:val="Intense Emphasis"/>
    <w:basedOn w:val="DefaultParagraphFont"/>
    <w:uiPriority w:val="21"/>
    <w:qFormat/>
    <w:rsid w:val="005B63F0"/>
    <w:rPr>
      <w:i/>
      <w:iCs/>
      <w:color w:val="2F5496" w:themeColor="accent1" w:themeShade="BF"/>
    </w:rPr>
  </w:style>
  <w:style w:type="paragraph" w:styleId="IntenseQuote">
    <w:name w:val="Intense Quote"/>
    <w:basedOn w:val="Normal"/>
    <w:next w:val="Normal"/>
    <w:link w:val="IntenseQuoteChar"/>
    <w:uiPriority w:val="30"/>
    <w:qFormat/>
    <w:rsid w:val="005B63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63F0"/>
    <w:rPr>
      <w:i/>
      <w:iCs/>
      <w:color w:val="2F5496" w:themeColor="accent1" w:themeShade="BF"/>
    </w:rPr>
  </w:style>
  <w:style w:type="character" w:styleId="IntenseReference">
    <w:name w:val="Intense Reference"/>
    <w:basedOn w:val="DefaultParagraphFont"/>
    <w:uiPriority w:val="32"/>
    <w:qFormat/>
    <w:rsid w:val="005B63F0"/>
    <w:rPr>
      <w:b/>
      <w:bCs/>
      <w:smallCaps/>
      <w:color w:val="2F5496" w:themeColor="accent1" w:themeShade="BF"/>
      <w:spacing w:val="5"/>
    </w:rPr>
  </w:style>
  <w:style w:type="paragraph" w:styleId="Header">
    <w:name w:val="header"/>
    <w:basedOn w:val="Normal"/>
    <w:link w:val="HeaderChar"/>
    <w:uiPriority w:val="99"/>
    <w:unhideWhenUsed/>
    <w:rsid w:val="00E26D26"/>
    <w:pPr>
      <w:tabs>
        <w:tab w:val="center" w:pos="4320"/>
        <w:tab w:val="right" w:pos="8640"/>
      </w:tabs>
      <w:spacing w:after="0" w:line="240" w:lineRule="auto"/>
    </w:pPr>
  </w:style>
  <w:style w:type="character" w:customStyle="1" w:styleId="HeaderChar">
    <w:name w:val="Header Char"/>
    <w:basedOn w:val="DefaultParagraphFont"/>
    <w:link w:val="Header"/>
    <w:uiPriority w:val="99"/>
    <w:rsid w:val="00E26D26"/>
  </w:style>
  <w:style w:type="paragraph" w:styleId="Footer">
    <w:name w:val="footer"/>
    <w:basedOn w:val="Normal"/>
    <w:link w:val="FooterChar"/>
    <w:uiPriority w:val="99"/>
    <w:unhideWhenUsed/>
    <w:rsid w:val="00E26D26"/>
    <w:pPr>
      <w:tabs>
        <w:tab w:val="center" w:pos="4320"/>
        <w:tab w:val="right" w:pos="8640"/>
      </w:tabs>
      <w:spacing w:after="0" w:line="240" w:lineRule="auto"/>
    </w:pPr>
  </w:style>
  <w:style w:type="character" w:customStyle="1" w:styleId="FooterChar">
    <w:name w:val="Footer Char"/>
    <w:basedOn w:val="DefaultParagraphFont"/>
    <w:link w:val="Footer"/>
    <w:uiPriority w:val="99"/>
    <w:rsid w:val="00E26D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1662</TotalTime>
  <Pages>10</Pages>
  <Words>1988</Words>
  <Characters>13003</Characters>
  <Application>Microsoft Office Word</Application>
  <DocSecurity>0</DocSecurity>
  <Lines>200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Xinrui Shen (Student)</dc:creator>
  <cp:keywords/>
  <dc:description/>
  <cp:lastModifiedBy>Xinrui Shen (Student)</cp:lastModifiedBy>
  <cp:revision>25</cp:revision>
  <dcterms:created xsi:type="dcterms:W3CDTF">2025-12-07T21:16:00Z</dcterms:created>
  <dcterms:modified xsi:type="dcterms:W3CDTF">2025-12-13T21:04:00Z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98f6a04373fb6bb01d6348a2c56c029c17007a4799b919c546e8aadac84ddc67</vt:lpwstr>
  </property>
</Properties>
</file>