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They think that they can try to win shareholders over on the kind of //ESG //argument that //they are the better //owner of the company . //One of the really interesting things about this //deal is that it is pitting //kind of Big Tobacco against //Big Private Equity , you know neither industry //being one that is exactly riding high in the kind of court of public opinion . So //it's an unusual deal from from that point of view , right ? But //it's also very interesting that private equity //is trying to take the moral high grounds in this transaction and say</w:t>
      </w:r>
      <w:bookmarkStart w:id="0" w:name="_GoBack"/>
      <w:bookmarkEnd w:id="0"/>
      <w:r>
        <w:br w:type="textWrapping"/>
      </w:r>
      <w:r>
        <w:br w:type="textWrapping"/>
      </w:r>
      <w:r>
        <w:t>yes , we can't pay as much money //as //Big Tobacco //would pay //to own this company , //but we should still be allowed to //buy it //anyway because we are the better //owner . //That's an interesting argument , which //deals don't very often come down to that type of //conversation 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★日文毛笔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ngel Light l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ngel Light ltd">
    <w:panose1 w:val="02000500020000020004"/>
    <w:charset w:val="00"/>
    <w:family w:val="auto"/>
    <w:pitch w:val="default"/>
    <w:sig w:usb0="00000003" w:usb1="08000000" w:usb2="14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A9E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kakin</cp:lastModifiedBy>
  <dcterms:modified xsi:type="dcterms:W3CDTF">2021-08-18T15:17:37Z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