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to ec2 instance: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ssh -i &lt;path to pem file&gt; ubuntu@&lt;instance’ public DNS&gt;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ctrl+D to exit ssh 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Web server on Yani’s ec2 instance: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ec2-54-151-125-131.us-west-1.compute.amazonaws.com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54.151.125.131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Location: N.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Web server on Amelia’s ec2 instance: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Public DNS: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ec2-54-176-241-139.us-west-1.compute.amazonaws.com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IP: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54.176.241.139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Location: N.California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Load balancer: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Amelia’s ec2 instance: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ec2-54-153-99-211.us-west-1.compute.amazonaws.com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54.153.99.211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Location: N.California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Proxy cache in N. California: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 Yani’s ec2 instance: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ec2-54-177-253-119.us-west-1.compute.amazonaws.com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54.177.253.119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Proxy cache in S. America: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Yani’s ec2 instance: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ec2-18-229-155-221.sa-east-1.compute.amazonaws.com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18.229.155.221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Proxy cache in N. Europe: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Yani’s ec2 instance: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ec2-13-53-85-246.eu-north-1.compute.amazonaws.com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13.53.85.246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hd w:fill="f4cccc" w:val="clear"/>
          <w:rtl w:val="0"/>
        </w:rPr>
        <w:t xml:space="preserve">Master GeoDNS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Yani’s ec2 instance: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ec2-18-144-7-204.us-west-1.compute.amazonaws.com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18.144.7.204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Location: N. California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hd w:fill="f4cccc" w:val="clear"/>
          <w:rtl w:val="0"/>
        </w:rPr>
        <w:t xml:space="preserve">Slave GeoDNS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Yani’s ec2 instance: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ec2-13-52-249-10.us-west-1.compute.amazonaws.com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13.52.249.10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Location: N.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