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nia9e67n4xfv" w:id="0"/>
      <w:bookmarkEnd w:id="0"/>
      <w:r w:rsidDel="00000000" w:rsidR="00000000" w:rsidRPr="00000000">
        <w:rPr>
          <w:rtl w:val="0"/>
        </w:rPr>
        <w:t xml:space="preserve">1.One-way Binding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57675" cy="419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4175" cy="2266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mat-slider 's attribute invert(inside the []), bind to invert(inside the ());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Mat-checkbox's value attribute is bind to invert,(two-way binding here)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So, the when the value of mat-checkbox changes, it changes the value of the [invert] attribute in matslider.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*value of invert is boolean value(true/false).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or9mk29u0zdl" w:id="1"/>
      <w:bookmarkEnd w:id="1"/>
      <w:r w:rsidDel="00000000" w:rsidR="00000000" w:rsidRPr="00000000">
        <w:rPr>
          <w:rtl w:val="0"/>
        </w:rPr>
        <w:t xml:space="preserve">2.Two-way Binding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1171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76550" cy="2343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Before this, take a look at how ngModel works: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ngModel is a selector which will be available with FormControl Instance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[attribute], set html value property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(event),  change html value property when event happens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afafa" w:val="clear"/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accepts a domain model as an optional </w:t>
      </w:r>
      <w:hyperlink r:id="rId11">
        <w:r w:rsidDel="00000000" w:rsidR="00000000" w:rsidRPr="00000000">
          <w:rPr>
            <w:rFonts w:ascii="Verdana" w:cs="Verdana" w:eastAsia="Verdana" w:hAnsi="Verdana"/>
            <w:color w:val="1976d2"/>
            <w:sz w:val="19"/>
            <w:szCs w:val="19"/>
            <w:u w:val="single"/>
            <w:rtl w:val="0"/>
          </w:rPr>
          <w:t xml:space="preserve">Input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 If you have a one-way binding to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shd w:fill="f1f1f1" w:val="clear"/>
            <w:rtl w:val="0"/>
          </w:rPr>
          <w:t xml:space="preserve">ngModel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syntax, changing the value of the domain model in the component class will set the value in the view. If you have a two-way binding with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[()]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syntax (also known as 'banana-box syntax'), the value in the UI will always be synced back to the domain model in your class as well.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g54o5cgkvh1o" w:id="2"/>
      <w:bookmarkEnd w:id="2"/>
      <w:r w:rsidDel="00000000" w:rsidR="00000000" w:rsidRPr="00000000">
        <w:rPr>
          <w:rtl w:val="0"/>
        </w:rPr>
        <w:t xml:space="preserve">There is other two-way bing selector: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/>
        <w:drawing>
          <wp:inline distB="114300" distT="114300" distL="114300" distR="114300">
            <wp:extent cx="3895725" cy="1876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&lt;mat-select&gt;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supports 2-way binding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property without the need for Angular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ular.io/api/core/Input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hyperlink" Target="https://angular.io/api/forms/NgMod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