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D5300" w14:textId="77777777" w:rsidR="00E80616" w:rsidRPr="00A872FE" w:rsidRDefault="00E80616" w:rsidP="003E6C52">
      <w:pPr>
        <w:spacing w:after="120"/>
        <w:jc w:val="right"/>
        <w:rPr>
          <w:rFonts w:ascii="Arial" w:hAnsi="Arial" w:cs="Arial"/>
          <w:sz w:val="20"/>
        </w:rPr>
      </w:pPr>
    </w:p>
    <w:p w14:paraId="2F25FCDF" w14:textId="1D9D9077" w:rsidR="00975464" w:rsidRPr="00A872FE" w:rsidRDefault="00975464" w:rsidP="003E6C52">
      <w:pPr>
        <w:spacing w:after="120"/>
        <w:ind w:left="1620" w:hanging="1620"/>
        <w:rPr>
          <w:rFonts w:ascii="Arial" w:hAnsi="Arial" w:cs="Arial"/>
          <w:sz w:val="20"/>
        </w:rPr>
      </w:pPr>
      <w:r w:rsidRPr="00A872FE">
        <w:rPr>
          <w:rFonts w:ascii="Arial" w:hAnsi="Arial" w:cs="Arial"/>
          <w:b/>
          <w:sz w:val="20"/>
        </w:rPr>
        <w:t xml:space="preserve">Course: </w:t>
      </w:r>
      <w:r w:rsidRPr="00A872FE">
        <w:rPr>
          <w:rFonts w:ascii="Arial" w:hAnsi="Arial" w:cs="Arial"/>
          <w:b/>
          <w:sz w:val="20"/>
        </w:rPr>
        <w:tab/>
      </w:r>
      <w:r w:rsidR="003E6C52" w:rsidRPr="00A872FE">
        <w:rPr>
          <w:rFonts w:ascii="Arial" w:hAnsi="Arial" w:cs="Arial"/>
          <w:sz w:val="20"/>
        </w:rPr>
        <w:t xml:space="preserve">FPST 1213 – </w:t>
      </w:r>
      <w:r w:rsidR="00FB66E8" w:rsidRPr="00A872FE">
        <w:rPr>
          <w:rFonts w:ascii="Arial" w:hAnsi="Arial" w:cs="Arial"/>
          <w:sz w:val="20"/>
        </w:rPr>
        <w:t>F</w:t>
      </w:r>
      <w:r w:rsidR="003E6C52" w:rsidRPr="00A872FE">
        <w:rPr>
          <w:rFonts w:ascii="Arial" w:hAnsi="Arial" w:cs="Arial"/>
          <w:sz w:val="20"/>
        </w:rPr>
        <w:t xml:space="preserve">ire </w:t>
      </w:r>
      <w:r w:rsidR="007D5EF9">
        <w:rPr>
          <w:rFonts w:ascii="Arial" w:hAnsi="Arial" w:cs="Arial"/>
          <w:sz w:val="20"/>
        </w:rPr>
        <w:t xml:space="preserve">and </w:t>
      </w:r>
      <w:r w:rsidR="003E6C52" w:rsidRPr="00A872FE">
        <w:rPr>
          <w:rFonts w:ascii="Arial" w:hAnsi="Arial" w:cs="Arial"/>
          <w:sz w:val="20"/>
        </w:rPr>
        <w:t>Safety Hazards Recognition</w:t>
      </w:r>
      <w:r w:rsidR="00313646">
        <w:rPr>
          <w:rFonts w:ascii="Arial" w:hAnsi="Arial" w:cs="Arial"/>
          <w:sz w:val="20"/>
        </w:rPr>
        <w:t xml:space="preserve"> – Summer 2020</w:t>
      </w:r>
    </w:p>
    <w:p w14:paraId="5F62B0A1" w14:textId="77777777" w:rsidR="003E6C52" w:rsidRPr="00A872FE" w:rsidRDefault="00975464" w:rsidP="003E6C52">
      <w:pPr>
        <w:tabs>
          <w:tab w:val="left" w:pos="1620"/>
        </w:tabs>
        <w:spacing w:after="120"/>
        <w:rPr>
          <w:rFonts w:ascii="Arial" w:hAnsi="Arial" w:cs="Arial"/>
          <w:sz w:val="20"/>
        </w:rPr>
      </w:pPr>
      <w:r w:rsidRPr="00A872FE">
        <w:rPr>
          <w:rFonts w:ascii="Arial" w:hAnsi="Arial" w:cs="Arial"/>
          <w:b/>
          <w:sz w:val="20"/>
        </w:rPr>
        <w:t>Instructor:</w:t>
      </w:r>
      <w:r w:rsidRPr="00A872FE">
        <w:rPr>
          <w:rFonts w:ascii="Arial" w:hAnsi="Arial" w:cs="Arial"/>
          <w:b/>
          <w:sz w:val="20"/>
        </w:rPr>
        <w:tab/>
      </w:r>
      <w:r w:rsidR="003E6C52" w:rsidRPr="00A872FE">
        <w:rPr>
          <w:rFonts w:ascii="Arial" w:hAnsi="Arial" w:cs="Arial"/>
          <w:sz w:val="20"/>
        </w:rPr>
        <w:t>Tim Wilson, MS, CSP, CHMM</w:t>
      </w:r>
    </w:p>
    <w:p w14:paraId="681F047A" w14:textId="77777777" w:rsidR="003E6C52" w:rsidRPr="00A872FE" w:rsidRDefault="003E6C52" w:rsidP="003E6C52">
      <w:pPr>
        <w:spacing w:after="120"/>
        <w:ind w:left="1620" w:hanging="1620"/>
        <w:rPr>
          <w:rFonts w:ascii="Arial" w:hAnsi="Arial" w:cs="Arial"/>
          <w:sz w:val="20"/>
        </w:rPr>
      </w:pPr>
      <w:r w:rsidRPr="00A872FE">
        <w:rPr>
          <w:rFonts w:ascii="Arial" w:hAnsi="Arial" w:cs="Arial"/>
          <w:b/>
          <w:sz w:val="20"/>
        </w:rPr>
        <w:tab/>
      </w:r>
      <w:hyperlink r:id="rId8" w:history="1">
        <w:r w:rsidRPr="00A872FE">
          <w:rPr>
            <w:rStyle w:val="Hyperlink"/>
            <w:rFonts w:ascii="Arial" w:hAnsi="Arial" w:cs="Arial"/>
            <w:sz w:val="20"/>
          </w:rPr>
          <w:t>tim.wilson10@okstate.edu</w:t>
        </w:r>
      </w:hyperlink>
    </w:p>
    <w:p w14:paraId="08FB9D0E" w14:textId="5587B614" w:rsidR="000E6A79" w:rsidRPr="00A872FE" w:rsidRDefault="000E6A79" w:rsidP="000E6A79">
      <w:pPr>
        <w:spacing w:after="120"/>
        <w:ind w:left="1620" w:hanging="1620"/>
        <w:rPr>
          <w:rFonts w:ascii="Arial" w:hAnsi="Arial" w:cs="Arial"/>
          <w:sz w:val="20"/>
        </w:rPr>
      </w:pPr>
      <w:r w:rsidRPr="00A872FE">
        <w:rPr>
          <w:rFonts w:ascii="Arial" w:hAnsi="Arial" w:cs="Arial"/>
          <w:b/>
          <w:sz w:val="20"/>
        </w:rPr>
        <w:t>SWJTU Faculty:</w:t>
      </w:r>
      <w:r w:rsidR="003E6C52" w:rsidRPr="00A872FE">
        <w:rPr>
          <w:rFonts w:ascii="Arial" w:hAnsi="Arial" w:cs="Arial"/>
          <w:b/>
          <w:sz w:val="20"/>
        </w:rPr>
        <w:tab/>
      </w:r>
      <w:r w:rsidR="00A872FE" w:rsidRPr="00A872FE">
        <w:rPr>
          <w:rFonts w:ascii="Arial" w:hAnsi="Arial" w:cs="Arial"/>
          <w:bCs/>
          <w:sz w:val="20"/>
        </w:rPr>
        <w:t>To be determined</w:t>
      </w:r>
      <w:r w:rsidR="00A872FE">
        <w:rPr>
          <w:rFonts w:ascii="Arial" w:hAnsi="Arial" w:cs="Arial"/>
          <w:bCs/>
          <w:sz w:val="20"/>
        </w:rPr>
        <w:t>.</w:t>
      </w:r>
    </w:p>
    <w:p w14:paraId="37C4E8AB" w14:textId="77777777" w:rsidR="003E6C52" w:rsidRPr="00A872FE" w:rsidRDefault="003E6C52" w:rsidP="003E6C52">
      <w:pPr>
        <w:spacing w:after="120"/>
        <w:ind w:left="1620"/>
        <w:rPr>
          <w:rFonts w:ascii="Arial" w:hAnsi="Arial" w:cs="Arial"/>
          <w:sz w:val="20"/>
        </w:rPr>
      </w:pPr>
    </w:p>
    <w:p w14:paraId="6F9F050E" w14:textId="77777777" w:rsidR="00E80616" w:rsidRPr="00A872FE" w:rsidRDefault="0012323F" w:rsidP="003E6C52">
      <w:pPr>
        <w:pStyle w:val="Heading1"/>
        <w:spacing w:after="120"/>
        <w:rPr>
          <w:rFonts w:ascii="Arial" w:hAnsi="Arial" w:cs="Arial"/>
          <w:sz w:val="20"/>
          <w:u w:val="single"/>
        </w:rPr>
      </w:pPr>
      <w:r w:rsidRPr="00A872FE">
        <w:rPr>
          <w:rFonts w:ascii="Arial" w:hAnsi="Arial" w:cs="Arial"/>
          <w:sz w:val="20"/>
          <w:u w:val="single"/>
        </w:rPr>
        <w:t>Course Objectives</w:t>
      </w:r>
      <w:r w:rsidR="00482B80" w:rsidRPr="00A872FE">
        <w:rPr>
          <w:rFonts w:ascii="Arial" w:hAnsi="Arial" w:cs="Arial"/>
          <w:sz w:val="20"/>
          <w:u w:val="single"/>
        </w:rPr>
        <w:t>:</w:t>
      </w:r>
    </w:p>
    <w:p w14:paraId="4291CB1E" w14:textId="77777777" w:rsidR="009B4776" w:rsidRPr="00A872FE" w:rsidRDefault="00CB5919" w:rsidP="00A872FE">
      <w:pPr>
        <w:suppressAutoHyphens w:val="0"/>
        <w:overflowPunct/>
        <w:autoSpaceDE/>
        <w:autoSpaceDN/>
        <w:adjustRightInd/>
        <w:spacing w:after="120"/>
        <w:ind w:left="360"/>
        <w:textAlignment w:val="auto"/>
        <w:rPr>
          <w:rFonts w:ascii="Arial" w:hAnsi="Arial" w:cs="Arial"/>
          <w:sz w:val="20"/>
        </w:rPr>
      </w:pPr>
      <w:r w:rsidRPr="00A872FE">
        <w:rPr>
          <w:rFonts w:ascii="Arial" w:hAnsi="Arial" w:cs="Arial"/>
          <w:sz w:val="20"/>
          <w:shd w:val="clear" w:color="auto" w:fill="FFFFFF"/>
        </w:rPr>
        <w:t>This course provides an overview and introduction of fire protection and safety concepts for the preservation of life, property, and environment.  The physical, chemical, and electrical hazards and their relationship to loss of life and property are addressed.  The course presents the concepts and principles that deal with fire protection engineering, industrial fire protection and safety, and municipal fire protection</w:t>
      </w:r>
      <w:r w:rsidRPr="00A872FE">
        <w:rPr>
          <w:rFonts w:ascii="Arial" w:hAnsi="Arial" w:cs="Arial"/>
          <w:sz w:val="20"/>
        </w:rPr>
        <w:t>.</w:t>
      </w:r>
    </w:p>
    <w:p w14:paraId="6E2A206D" w14:textId="77777777" w:rsidR="009B4776" w:rsidRPr="00A872FE" w:rsidRDefault="009B4776" w:rsidP="003E6C52">
      <w:pPr>
        <w:pStyle w:val="Heading1"/>
        <w:spacing w:after="120"/>
        <w:rPr>
          <w:rFonts w:ascii="Arial" w:hAnsi="Arial" w:cs="Arial"/>
          <w:sz w:val="20"/>
          <w:u w:val="single"/>
        </w:rPr>
      </w:pPr>
      <w:r w:rsidRPr="00A872FE">
        <w:rPr>
          <w:rFonts w:ascii="Arial" w:hAnsi="Arial" w:cs="Arial"/>
          <w:sz w:val="20"/>
          <w:u w:val="single"/>
        </w:rPr>
        <w:t>Learning Objectives</w:t>
      </w:r>
      <w:r w:rsidR="00CB5919" w:rsidRPr="00A872FE">
        <w:rPr>
          <w:rFonts w:ascii="Arial" w:hAnsi="Arial" w:cs="Arial"/>
          <w:sz w:val="20"/>
          <w:u w:val="single"/>
        </w:rPr>
        <w:t>:</w:t>
      </w:r>
      <w:r w:rsidRPr="00A872FE">
        <w:rPr>
          <w:rFonts w:ascii="Arial" w:hAnsi="Arial" w:cs="Arial"/>
          <w:sz w:val="20"/>
        </w:rPr>
        <w:t xml:space="preserve"> </w:t>
      </w:r>
    </w:p>
    <w:p w14:paraId="612AF054"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Discuss the fire problem with understanding of the fundamentals involved in fire protection.</w:t>
      </w:r>
    </w:p>
    <w:p w14:paraId="4752B4BC"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Understand the standard terminology used in the fire protection field.</w:t>
      </w:r>
    </w:p>
    <w:p w14:paraId="4AEC718E"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Recognize hazardous situations as potential fire causes and/or causes of other loss events.</w:t>
      </w:r>
    </w:p>
    <w:p w14:paraId="6BCD2595"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Make reasonable and logical recommendations for elimination or control of fire hazards.</w:t>
      </w:r>
    </w:p>
    <w:p w14:paraId="3827AC88"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Evaluate the hazards that may encourage a fire to start or contribute to the severity of the fire or the magnitude of the loss event.</w:t>
      </w:r>
    </w:p>
    <w:p w14:paraId="6512AA5B" w14:textId="77777777" w:rsidR="00CB5919" w:rsidRPr="00A872FE" w:rsidRDefault="00CB5919" w:rsidP="003E6C52">
      <w:pPr>
        <w:pStyle w:val="BodyText"/>
        <w:numPr>
          <w:ilvl w:val="0"/>
          <w:numId w:val="15"/>
        </w:numPr>
        <w:rPr>
          <w:rFonts w:ascii="Arial" w:hAnsi="Arial" w:cs="Arial"/>
          <w:sz w:val="20"/>
        </w:rPr>
      </w:pPr>
      <w:r w:rsidRPr="00A872FE">
        <w:rPr>
          <w:rFonts w:ascii="Arial" w:hAnsi="Arial" w:cs="Arial"/>
          <w:sz w:val="20"/>
        </w:rPr>
        <w:t>Perform basic calculations related to identification and evaluation of fire hazards</w:t>
      </w:r>
    </w:p>
    <w:p w14:paraId="181E53CE" w14:textId="77777777" w:rsidR="003F0769" w:rsidRPr="00A872FE" w:rsidRDefault="00CB5919" w:rsidP="003E6C52">
      <w:pPr>
        <w:pStyle w:val="BodyText"/>
        <w:numPr>
          <w:ilvl w:val="0"/>
          <w:numId w:val="15"/>
        </w:numPr>
        <w:rPr>
          <w:rFonts w:ascii="Arial" w:hAnsi="Arial" w:cs="Arial"/>
          <w:sz w:val="20"/>
        </w:rPr>
      </w:pPr>
      <w:r w:rsidRPr="00A872FE">
        <w:rPr>
          <w:rFonts w:ascii="Arial" w:hAnsi="Arial" w:cs="Arial"/>
          <w:sz w:val="20"/>
        </w:rPr>
        <w:t>Explain the basic chemistry and physics principles, which are involved in fire and combustion</w:t>
      </w:r>
    </w:p>
    <w:p w14:paraId="5E81CB25" w14:textId="77777777" w:rsidR="003F0769" w:rsidRPr="00A872FE" w:rsidRDefault="003F0769" w:rsidP="003E6C52">
      <w:pPr>
        <w:pStyle w:val="Heading1"/>
        <w:spacing w:after="120"/>
        <w:rPr>
          <w:rFonts w:ascii="Arial" w:hAnsi="Arial" w:cs="Arial"/>
          <w:sz w:val="20"/>
          <w:u w:val="single"/>
        </w:rPr>
      </w:pPr>
      <w:r w:rsidRPr="00A872FE">
        <w:rPr>
          <w:rFonts w:ascii="Arial" w:hAnsi="Arial" w:cs="Arial"/>
          <w:sz w:val="20"/>
          <w:u w:val="single"/>
        </w:rPr>
        <w:t>Course Learning Outcomes:</w:t>
      </w:r>
    </w:p>
    <w:p w14:paraId="345B24F5" w14:textId="77777777" w:rsidR="00CB5919" w:rsidRPr="00A872FE" w:rsidRDefault="00CB5919" w:rsidP="003E6C52">
      <w:pPr>
        <w:numPr>
          <w:ilvl w:val="0"/>
          <w:numId w:val="14"/>
        </w:numPr>
        <w:spacing w:after="120"/>
        <w:rPr>
          <w:rFonts w:ascii="Arial" w:hAnsi="Arial" w:cs="Arial"/>
          <w:sz w:val="20"/>
        </w:rPr>
      </w:pPr>
      <w:r w:rsidRPr="00A872FE">
        <w:rPr>
          <w:rFonts w:ascii="Arial" w:hAnsi="Arial" w:cs="Arial"/>
          <w:sz w:val="20"/>
        </w:rPr>
        <w:t xml:space="preserve">Students </w:t>
      </w:r>
      <w:r w:rsidR="003E6C52" w:rsidRPr="00A872FE">
        <w:rPr>
          <w:rFonts w:ascii="Arial" w:hAnsi="Arial" w:cs="Arial"/>
          <w:sz w:val="20"/>
        </w:rPr>
        <w:t>are</w:t>
      </w:r>
      <w:r w:rsidRPr="00A872FE">
        <w:rPr>
          <w:rFonts w:ascii="Arial" w:hAnsi="Arial" w:cs="Arial"/>
          <w:sz w:val="20"/>
        </w:rPr>
        <w:t xml:space="preserve"> introduced to a wide scope of fire protection and safety professional opportunities and challenges.  </w:t>
      </w:r>
    </w:p>
    <w:p w14:paraId="27A58EAA" w14:textId="77777777" w:rsidR="006C4819" w:rsidRPr="00A872FE" w:rsidRDefault="00CB5919" w:rsidP="003E6C52">
      <w:pPr>
        <w:numPr>
          <w:ilvl w:val="0"/>
          <w:numId w:val="14"/>
        </w:numPr>
        <w:spacing w:after="120"/>
        <w:rPr>
          <w:rFonts w:ascii="Arial" w:hAnsi="Arial" w:cs="Arial"/>
          <w:sz w:val="20"/>
        </w:rPr>
      </w:pPr>
      <w:r w:rsidRPr="00A872FE">
        <w:rPr>
          <w:rFonts w:ascii="Arial" w:hAnsi="Arial" w:cs="Arial"/>
          <w:sz w:val="20"/>
        </w:rPr>
        <w:t>Using current events and significant case studies, students will learn critical thinking skills to identify life safety problems and develop sound recommendations</w:t>
      </w:r>
    </w:p>
    <w:p w14:paraId="155EEA6D" w14:textId="77777777" w:rsidR="00E80616" w:rsidRPr="00A872FE" w:rsidRDefault="0012323F" w:rsidP="003E6C52">
      <w:pPr>
        <w:pStyle w:val="Heading1"/>
        <w:spacing w:after="120"/>
        <w:rPr>
          <w:rFonts w:ascii="Arial" w:hAnsi="Arial" w:cs="Arial"/>
          <w:sz w:val="20"/>
          <w:u w:val="single"/>
        </w:rPr>
      </w:pPr>
      <w:r w:rsidRPr="00A872FE">
        <w:rPr>
          <w:rFonts w:ascii="Arial" w:hAnsi="Arial" w:cs="Arial"/>
          <w:sz w:val="20"/>
          <w:u w:val="single"/>
        </w:rPr>
        <w:t>Required Texts</w:t>
      </w:r>
      <w:r w:rsidR="00E80616" w:rsidRPr="00A872FE">
        <w:rPr>
          <w:rFonts w:ascii="Arial" w:hAnsi="Arial" w:cs="Arial"/>
          <w:sz w:val="20"/>
          <w:u w:val="single"/>
        </w:rPr>
        <w:t>:</w:t>
      </w:r>
    </w:p>
    <w:p w14:paraId="755402D4" w14:textId="77777777" w:rsidR="003F0769" w:rsidRPr="00A872FE" w:rsidRDefault="00CB5919" w:rsidP="003E6C52">
      <w:pPr>
        <w:pStyle w:val="Bibliography"/>
        <w:numPr>
          <w:ilvl w:val="0"/>
          <w:numId w:val="17"/>
        </w:numPr>
        <w:spacing w:after="120"/>
        <w:rPr>
          <w:rFonts w:ascii="Arial" w:hAnsi="Arial" w:cs="Arial"/>
          <w:sz w:val="20"/>
        </w:rPr>
      </w:pPr>
      <w:r w:rsidRPr="00A872FE">
        <w:rPr>
          <w:rFonts w:ascii="Arial" w:hAnsi="Arial" w:cs="Arial"/>
          <w:sz w:val="20"/>
        </w:rPr>
        <w:t xml:space="preserve">International Fire Service Training Association. (2009). </w:t>
      </w:r>
      <w:r w:rsidRPr="00A872FE">
        <w:rPr>
          <w:rFonts w:ascii="Arial" w:hAnsi="Arial" w:cs="Arial"/>
          <w:i/>
          <w:sz w:val="20"/>
        </w:rPr>
        <w:t>Fire Inspection and Code Enforcement</w:t>
      </w:r>
      <w:r w:rsidRPr="00A872FE">
        <w:rPr>
          <w:rFonts w:ascii="Arial" w:hAnsi="Arial" w:cs="Arial"/>
          <w:sz w:val="20"/>
        </w:rPr>
        <w:t>. 8th ed. Fire Protection Publications. Stillwater. OK.</w:t>
      </w:r>
    </w:p>
    <w:p w14:paraId="32FD77CD" w14:textId="32C750AA" w:rsidR="00E80616" w:rsidRPr="00A872FE" w:rsidRDefault="0012323F" w:rsidP="003E6C52">
      <w:pPr>
        <w:pStyle w:val="Heading1"/>
        <w:spacing w:after="120"/>
        <w:rPr>
          <w:rFonts w:ascii="Arial" w:hAnsi="Arial" w:cs="Arial"/>
          <w:sz w:val="20"/>
          <w:u w:val="single"/>
        </w:rPr>
      </w:pPr>
      <w:r w:rsidRPr="00A872FE">
        <w:rPr>
          <w:rFonts w:ascii="Arial" w:hAnsi="Arial" w:cs="Arial"/>
          <w:sz w:val="20"/>
          <w:u w:val="single"/>
        </w:rPr>
        <w:t>Reading Assignments</w:t>
      </w:r>
      <w:r w:rsidR="00E80616" w:rsidRPr="00A872FE">
        <w:rPr>
          <w:rFonts w:ascii="Arial" w:hAnsi="Arial" w:cs="Arial"/>
          <w:sz w:val="20"/>
          <w:u w:val="single"/>
        </w:rPr>
        <w:t>:</w:t>
      </w:r>
    </w:p>
    <w:p w14:paraId="5A099255" w14:textId="77777777" w:rsidR="00BE67BD" w:rsidRPr="00A872FE" w:rsidRDefault="00BE67BD" w:rsidP="00BE67BD">
      <w:pPr>
        <w:spacing w:after="120"/>
        <w:rPr>
          <w:rFonts w:ascii="Arial" w:hAnsi="Arial" w:cs="Arial"/>
          <w:sz w:val="20"/>
        </w:rPr>
      </w:pPr>
      <w:r w:rsidRPr="00A872FE">
        <w:rPr>
          <w:rFonts w:ascii="Arial" w:hAnsi="Arial" w:cs="Arial"/>
          <w:sz w:val="20"/>
        </w:rPr>
        <w:t xml:space="preserve">Reading assignments are preparation for the lecture or laboratory period and completion </w:t>
      </w:r>
      <w:r w:rsidRPr="00A872FE">
        <w:rPr>
          <w:rFonts w:ascii="Arial" w:hAnsi="Arial" w:cs="Arial"/>
          <w:sz w:val="20"/>
          <w:u w:val="single"/>
        </w:rPr>
        <w:t>prior to class or lab is expected</w:t>
      </w:r>
      <w:r w:rsidRPr="00A872FE">
        <w:rPr>
          <w:rFonts w:ascii="Arial" w:hAnsi="Arial" w:cs="Arial"/>
          <w:sz w:val="20"/>
        </w:rPr>
        <w:t>.  This class involves significant out-of-class assignments.  The student is responsible for all material assigned regardless of inclusion in class lecture.  Preparation for class discussions is expected.</w:t>
      </w:r>
    </w:p>
    <w:p w14:paraId="7FEEDB17" w14:textId="0957EB15" w:rsidR="00BE67BD" w:rsidRPr="00A872FE" w:rsidRDefault="00BE67BD" w:rsidP="00BE67BD">
      <w:pPr>
        <w:pStyle w:val="Heading1"/>
        <w:spacing w:after="120"/>
        <w:rPr>
          <w:rFonts w:ascii="Arial" w:hAnsi="Arial" w:cs="Arial"/>
          <w:b w:val="0"/>
          <w:bCs/>
          <w:sz w:val="20"/>
        </w:rPr>
      </w:pPr>
      <w:r w:rsidRPr="00A872FE">
        <w:rPr>
          <w:rFonts w:ascii="Arial" w:hAnsi="Arial" w:cs="Arial"/>
          <w:b w:val="0"/>
          <w:bCs/>
          <w:sz w:val="20"/>
        </w:rPr>
        <w:t>The Course Schedule lists the reading assignments.</w:t>
      </w:r>
    </w:p>
    <w:p w14:paraId="6356D4AA" w14:textId="750C9CF8" w:rsidR="00E80616" w:rsidRPr="00A872FE" w:rsidRDefault="0012323F" w:rsidP="00BE67BD">
      <w:pPr>
        <w:pStyle w:val="Heading1"/>
        <w:spacing w:after="120"/>
        <w:rPr>
          <w:rFonts w:ascii="Arial" w:hAnsi="Arial" w:cs="Arial"/>
          <w:sz w:val="20"/>
          <w:u w:val="single"/>
        </w:rPr>
      </w:pPr>
      <w:r w:rsidRPr="00A872FE">
        <w:rPr>
          <w:rFonts w:ascii="Arial" w:hAnsi="Arial" w:cs="Arial"/>
          <w:sz w:val="20"/>
          <w:u w:val="single"/>
        </w:rPr>
        <w:t>Assignments</w:t>
      </w:r>
      <w:r w:rsidR="00E80616" w:rsidRPr="00A872FE">
        <w:rPr>
          <w:rFonts w:ascii="Arial" w:hAnsi="Arial" w:cs="Arial"/>
          <w:sz w:val="20"/>
          <w:u w:val="single"/>
        </w:rPr>
        <w:t xml:space="preserve"> and Conduct of the class:</w:t>
      </w:r>
    </w:p>
    <w:p w14:paraId="0CA4A6CB" w14:textId="77777777" w:rsidR="00BE67BD" w:rsidRPr="00A872FE" w:rsidRDefault="00BE67BD" w:rsidP="00A872FE">
      <w:pPr>
        <w:spacing w:after="120"/>
        <w:ind w:left="360"/>
        <w:rPr>
          <w:rFonts w:ascii="Arial" w:hAnsi="Arial" w:cs="Arial"/>
          <w:sz w:val="20"/>
        </w:rPr>
      </w:pPr>
      <w:r w:rsidRPr="00A872FE">
        <w:rPr>
          <w:rFonts w:ascii="Arial" w:hAnsi="Arial" w:cs="Arial"/>
          <w:sz w:val="20"/>
        </w:rPr>
        <w:t>This class will have an on-line component using Canvas.</w:t>
      </w:r>
    </w:p>
    <w:p w14:paraId="1529739F" w14:textId="77777777" w:rsidR="000E6A79" w:rsidRPr="00A872FE" w:rsidRDefault="006A4CE9" w:rsidP="00A872FE">
      <w:pPr>
        <w:spacing w:after="120"/>
        <w:ind w:left="360"/>
        <w:rPr>
          <w:rFonts w:ascii="Arial" w:hAnsi="Arial" w:cs="Arial"/>
          <w:sz w:val="20"/>
        </w:rPr>
      </w:pPr>
      <w:r w:rsidRPr="00A872FE">
        <w:rPr>
          <w:rFonts w:ascii="Arial" w:hAnsi="Arial" w:cs="Arial"/>
          <w:sz w:val="20"/>
        </w:rPr>
        <w:t>Incomplete or not turned in assignments will receive a score of zero.</w:t>
      </w:r>
    </w:p>
    <w:p w14:paraId="724569E2" w14:textId="77777777" w:rsidR="006A4CE9" w:rsidRPr="00A872FE" w:rsidRDefault="004F626A" w:rsidP="00A872FE">
      <w:pPr>
        <w:spacing w:after="120"/>
        <w:ind w:left="360"/>
        <w:rPr>
          <w:rFonts w:ascii="Arial" w:hAnsi="Arial" w:cs="Arial"/>
          <w:sz w:val="20"/>
        </w:rPr>
      </w:pPr>
      <w:r w:rsidRPr="00A872FE">
        <w:rPr>
          <w:rFonts w:ascii="Arial" w:hAnsi="Arial" w:cs="Arial"/>
          <w:sz w:val="20"/>
        </w:rPr>
        <w:t>Late work is not accepted.</w:t>
      </w:r>
    </w:p>
    <w:p w14:paraId="3D03A580" w14:textId="77777777" w:rsidR="006A4CE9" w:rsidRPr="00A872FE" w:rsidRDefault="000E6A79" w:rsidP="00A872FE">
      <w:pPr>
        <w:spacing w:after="120"/>
        <w:ind w:left="360"/>
        <w:rPr>
          <w:rFonts w:ascii="Arial" w:hAnsi="Arial" w:cs="Arial"/>
          <w:sz w:val="20"/>
        </w:rPr>
      </w:pPr>
      <w:r w:rsidRPr="00A872FE">
        <w:rPr>
          <w:rFonts w:ascii="Arial" w:hAnsi="Arial" w:cs="Arial"/>
          <w:sz w:val="20"/>
        </w:rPr>
        <w:lastRenderedPageBreak/>
        <w:t>Submitted</w:t>
      </w:r>
      <w:r w:rsidR="006A4CE9" w:rsidRPr="00A872FE">
        <w:rPr>
          <w:rFonts w:ascii="Arial" w:hAnsi="Arial" w:cs="Arial"/>
          <w:sz w:val="20"/>
        </w:rPr>
        <w:t xml:space="preserve"> materials failing to follow the formatting instructions of the assignment will receive a grade of zero.</w:t>
      </w:r>
    </w:p>
    <w:p w14:paraId="4FF0E58F" w14:textId="77777777" w:rsidR="00E80616" w:rsidRPr="00A872FE" w:rsidRDefault="00412E8B" w:rsidP="003E6C52">
      <w:pPr>
        <w:pStyle w:val="Heading1"/>
        <w:spacing w:after="120"/>
        <w:rPr>
          <w:rFonts w:ascii="Arial" w:hAnsi="Arial" w:cs="Arial"/>
          <w:sz w:val="20"/>
          <w:u w:val="single"/>
        </w:rPr>
      </w:pPr>
      <w:r w:rsidRPr="00A872FE">
        <w:rPr>
          <w:rFonts w:ascii="Arial" w:hAnsi="Arial" w:cs="Arial"/>
          <w:sz w:val="20"/>
          <w:u w:val="single"/>
        </w:rPr>
        <w:t>Attendance:</w:t>
      </w:r>
    </w:p>
    <w:p w14:paraId="1B8E2101" w14:textId="5A8AB075" w:rsidR="000E6A79" w:rsidRPr="00A872FE" w:rsidRDefault="00A872FE" w:rsidP="003E6C52">
      <w:pPr>
        <w:pStyle w:val="Heading1"/>
        <w:spacing w:after="120"/>
        <w:rPr>
          <w:rFonts w:ascii="Arial" w:hAnsi="Arial" w:cs="Arial"/>
          <w:b w:val="0"/>
          <w:bCs/>
          <w:sz w:val="20"/>
        </w:rPr>
      </w:pPr>
      <w:r>
        <w:rPr>
          <w:rFonts w:ascii="Arial" w:hAnsi="Arial" w:cs="Arial"/>
          <w:b w:val="0"/>
          <w:bCs/>
          <w:sz w:val="20"/>
        </w:rPr>
        <w:t>Course attendance will follow established SWJTU guidelines.</w:t>
      </w:r>
    </w:p>
    <w:p w14:paraId="67A3726B" w14:textId="5F5A0567" w:rsidR="005473BF" w:rsidRPr="00A872FE" w:rsidRDefault="00E80616" w:rsidP="003E6C52">
      <w:pPr>
        <w:pStyle w:val="Heading1"/>
        <w:spacing w:after="120"/>
        <w:rPr>
          <w:rFonts w:ascii="Arial" w:hAnsi="Arial" w:cs="Arial"/>
          <w:sz w:val="20"/>
        </w:rPr>
      </w:pPr>
      <w:r w:rsidRPr="00A872FE">
        <w:rPr>
          <w:rFonts w:ascii="Arial" w:hAnsi="Arial" w:cs="Arial"/>
          <w:sz w:val="20"/>
          <w:u w:val="single"/>
        </w:rPr>
        <w:t>Grading</w:t>
      </w:r>
      <w:r w:rsidR="005473BF" w:rsidRPr="00A872FE">
        <w:rPr>
          <w:rFonts w:ascii="Arial" w:hAnsi="Arial" w:cs="Arial"/>
          <w:sz w:val="20"/>
        </w:rPr>
        <w:t>:</w:t>
      </w:r>
    </w:p>
    <w:tbl>
      <w:tblPr>
        <w:tblW w:w="7069" w:type="dxa"/>
        <w:jc w:val="center"/>
        <w:tblLook w:val="04A0" w:firstRow="1" w:lastRow="0" w:firstColumn="1" w:lastColumn="0" w:noHBand="0" w:noVBand="1"/>
      </w:tblPr>
      <w:tblGrid>
        <w:gridCol w:w="2491"/>
        <w:gridCol w:w="1488"/>
        <w:gridCol w:w="801"/>
        <w:gridCol w:w="960"/>
        <w:gridCol w:w="1329"/>
      </w:tblGrid>
      <w:tr w:rsidR="002572A7" w:rsidRPr="002572A7" w14:paraId="53E4DDFB" w14:textId="77777777" w:rsidTr="00BE20A1">
        <w:trPr>
          <w:trHeight w:val="300"/>
          <w:jc w:val="center"/>
        </w:trPr>
        <w:tc>
          <w:tcPr>
            <w:tcW w:w="2491" w:type="dxa"/>
            <w:tcBorders>
              <w:top w:val="nil"/>
              <w:left w:val="nil"/>
              <w:bottom w:val="nil"/>
              <w:right w:val="nil"/>
            </w:tcBorders>
            <w:shd w:val="clear" w:color="auto" w:fill="auto"/>
            <w:noWrap/>
            <w:vAlign w:val="bottom"/>
            <w:hideMark/>
          </w:tcPr>
          <w:p w14:paraId="5535262A" w14:textId="77777777" w:rsidR="002572A7" w:rsidRPr="002572A7" w:rsidRDefault="002572A7" w:rsidP="002572A7">
            <w:pPr>
              <w:suppressAutoHyphens w:val="0"/>
              <w:overflowPunct/>
              <w:autoSpaceDE/>
              <w:autoSpaceDN/>
              <w:adjustRightInd/>
              <w:textAlignment w:val="auto"/>
              <w:rPr>
                <w:kern w:val="0"/>
                <w:sz w:val="20"/>
                <w:szCs w:val="24"/>
              </w:rPr>
            </w:pP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5F830" w14:textId="77777777" w:rsidR="002572A7" w:rsidRPr="002572A7" w:rsidRDefault="002572A7" w:rsidP="002572A7">
            <w:pPr>
              <w:suppressAutoHyphens w:val="0"/>
              <w:overflowPunct/>
              <w:autoSpaceDE/>
              <w:autoSpaceDN/>
              <w:adjustRightInd/>
              <w:jc w:val="center"/>
              <w:textAlignment w:val="auto"/>
              <w:rPr>
                <w:rFonts w:ascii="Arial" w:hAnsi="Arial" w:cs="Arial"/>
                <w:color w:val="000000"/>
                <w:kern w:val="0"/>
                <w:sz w:val="22"/>
                <w:szCs w:val="22"/>
              </w:rPr>
            </w:pPr>
            <w:r w:rsidRPr="002572A7">
              <w:rPr>
                <w:rFonts w:ascii="Arial" w:hAnsi="Arial" w:cs="Arial"/>
                <w:color w:val="000000"/>
                <w:kern w:val="0"/>
                <w:sz w:val="22"/>
                <w:szCs w:val="22"/>
              </w:rPr>
              <w:t>Points each</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14:paraId="470F4EF6" w14:textId="77777777" w:rsidR="002572A7" w:rsidRPr="002572A7" w:rsidRDefault="002572A7" w:rsidP="002572A7">
            <w:pPr>
              <w:suppressAutoHyphens w:val="0"/>
              <w:overflowPunct/>
              <w:autoSpaceDE/>
              <w:autoSpaceDN/>
              <w:adjustRightInd/>
              <w:jc w:val="center"/>
              <w:textAlignment w:val="auto"/>
              <w:rPr>
                <w:rFonts w:ascii="Arial" w:hAnsi="Arial" w:cs="Arial"/>
                <w:color w:val="000000"/>
                <w:kern w:val="0"/>
                <w:sz w:val="22"/>
                <w:szCs w:val="22"/>
              </w:rPr>
            </w:pPr>
            <w:r w:rsidRPr="002572A7">
              <w:rPr>
                <w:rFonts w:ascii="Arial" w:hAnsi="Arial" w:cs="Arial"/>
                <w:color w:val="000000"/>
                <w:kern w:val="0"/>
                <w:sz w:val="22"/>
                <w:szCs w:val="22"/>
              </w:rPr>
              <w:t>Qty.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1550138" w14:textId="77777777" w:rsidR="002572A7" w:rsidRPr="002572A7" w:rsidRDefault="002572A7" w:rsidP="002572A7">
            <w:pPr>
              <w:suppressAutoHyphens w:val="0"/>
              <w:overflowPunct/>
              <w:autoSpaceDE/>
              <w:autoSpaceDN/>
              <w:adjustRightInd/>
              <w:jc w:val="center"/>
              <w:textAlignment w:val="auto"/>
              <w:rPr>
                <w:rFonts w:ascii="Arial" w:hAnsi="Arial" w:cs="Arial"/>
                <w:color w:val="000000"/>
                <w:kern w:val="0"/>
                <w:sz w:val="22"/>
                <w:szCs w:val="22"/>
              </w:rPr>
            </w:pPr>
            <w:r w:rsidRPr="002572A7">
              <w:rPr>
                <w:rFonts w:ascii="Arial" w:hAnsi="Arial" w:cs="Arial"/>
                <w:color w:val="000000"/>
                <w:kern w:val="0"/>
                <w:sz w:val="22"/>
                <w:szCs w:val="22"/>
              </w:rPr>
              <w:t>Total</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251C909F" w14:textId="77777777" w:rsidR="002572A7" w:rsidRPr="002572A7" w:rsidRDefault="002572A7" w:rsidP="002572A7">
            <w:pPr>
              <w:suppressAutoHyphens w:val="0"/>
              <w:overflowPunct/>
              <w:autoSpaceDE/>
              <w:autoSpaceDN/>
              <w:adjustRightInd/>
              <w:textAlignment w:val="auto"/>
              <w:rPr>
                <w:rFonts w:ascii="Arial" w:hAnsi="Arial" w:cs="Arial"/>
                <w:color w:val="000000"/>
                <w:kern w:val="0"/>
                <w:sz w:val="22"/>
                <w:szCs w:val="22"/>
              </w:rPr>
            </w:pPr>
            <w:r w:rsidRPr="002572A7">
              <w:rPr>
                <w:rFonts w:ascii="Arial" w:hAnsi="Arial" w:cs="Arial"/>
                <w:color w:val="000000"/>
                <w:kern w:val="0"/>
                <w:sz w:val="22"/>
                <w:szCs w:val="22"/>
              </w:rPr>
              <w:t>% of Total</w:t>
            </w:r>
          </w:p>
        </w:tc>
      </w:tr>
      <w:tr w:rsidR="002572A7" w:rsidRPr="002572A7" w14:paraId="000A2B1C" w14:textId="77777777" w:rsidTr="00BE20A1">
        <w:trPr>
          <w:trHeight w:val="300"/>
          <w:jc w:val="center"/>
        </w:trPr>
        <w:tc>
          <w:tcPr>
            <w:tcW w:w="2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4C532" w14:textId="77777777" w:rsidR="002572A7" w:rsidRPr="002572A7" w:rsidRDefault="002572A7" w:rsidP="002572A7">
            <w:pPr>
              <w:suppressAutoHyphens w:val="0"/>
              <w:overflowPunct/>
              <w:autoSpaceDE/>
              <w:autoSpaceDN/>
              <w:adjustRightInd/>
              <w:textAlignment w:val="auto"/>
              <w:rPr>
                <w:rFonts w:ascii="Arial" w:hAnsi="Arial" w:cs="Arial"/>
                <w:color w:val="000000"/>
                <w:kern w:val="0"/>
                <w:sz w:val="22"/>
                <w:szCs w:val="22"/>
              </w:rPr>
            </w:pPr>
            <w:r w:rsidRPr="002572A7">
              <w:rPr>
                <w:rFonts w:ascii="Arial" w:hAnsi="Arial" w:cs="Arial"/>
                <w:color w:val="000000"/>
                <w:kern w:val="0"/>
                <w:sz w:val="22"/>
                <w:szCs w:val="22"/>
              </w:rPr>
              <w:t>Quizzes and Activities</w:t>
            </w:r>
          </w:p>
        </w:tc>
        <w:tc>
          <w:tcPr>
            <w:tcW w:w="1488" w:type="dxa"/>
            <w:tcBorders>
              <w:top w:val="nil"/>
              <w:left w:val="nil"/>
              <w:bottom w:val="single" w:sz="4" w:space="0" w:color="auto"/>
              <w:right w:val="single" w:sz="4" w:space="0" w:color="auto"/>
            </w:tcBorders>
            <w:shd w:val="clear" w:color="auto" w:fill="auto"/>
            <w:noWrap/>
            <w:vAlign w:val="center"/>
            <w:hideMark/>
          </w:tcPr>
          <w:p w14:paraId="33ADCEEE"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10</w:t>
            </w:r>
          </w:p>
        </w:tc>
        <w:tc>
          <w:tcPr>
            <w:tcW w:w="801" w:type="dxa"/>
            <w:tcBorders>
              <w:top w:val="nil"/>
              <w:left w:val="nil"/>
              <w:bottom w:val="single" w:sz="4" w:space="0" w:color="auto"/>
              <w:right w:val="single" w:sz="4" w:space="0" w:color="auto"/>
            </w:tcBorders>
            <w:shd w:val="clear" w:color="auto" w:fill="auto"/>
            <w:noWrap/>
            <w:vAlign w:val="center"/>
            <w:hideMark/>
          </w:tcPr>
          <w:p w14:paraId="2DE84A0B"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15</w:t>
            </w:r>
          </w:p>
        </w:tc>
        <w:tc>
          <w:tcPr>
            <w:tcW w:w="960" w:type="dxa"/>
            <w:tcBorders>
              <w:top w:val="nil"/>
              <w:left w:val="nil"/>
              <w:bottom w:val="single" w:sz="4" w:space="0" w:color="auto"/>
              <w:right w:val="single" w:sz="4" w:space="0" w:color="auto"/>
            </w:tcBorders>
            <w:shd w:val="clear" w:color="auto" w:fill="auto"/>
            <w:noWrap/>
            <w:vAlign w:val="center"/>
            <w:hideMark/>
          </w:tcPr>
          <w:p w14:paraId="436D49B5"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150</w:t>
            </w:r>
          </w:p>
        </w:tc>
        <w:tc>
          <w:tcPr>
            <w:tcW w:w="1329" w:type="dxa"/>
            <w:tcBorders>
              <w:top w:val="nil"/>
              <w:left w:val="nil"/>
              <w:bottom w:val="single" w:sz="4" w:space="0" w:color="auto"/>
              <w:right w:val="single" w:sz="4" w:space="0" w:color="auto"/>
            </w:tcBorders>
            <w:shd w:val="clear" w:color="auto" w:fill="auto"/>
            <w:noWrap/>
            <w:vAlign w:val="bottom"/>
            <w:hideMark/>
          </w:tcPr>
          <w:p w14:paraId="52B18A0E"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18%</w:t>
            </w:r>
          </w:p>
        </w:tc>
      </w:tr>
      <w:tr w:rsidR="002572A7" w:rsidRPr="002572A7" w14:paraId="412FD603" w14:textId="77777777" w:rsidTr="00BE20A1">
        <w:trPr>
          <w:trHeight w:val="300"/>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2124737E" w14:textId="77777777" w:rsidR="002572A7" w:rsidRPr="002572A7" w:rsidRDefault="002572A7" w:rsidP="002572A7">
            <w:pPr>
              <w:suppressAutoHyphens w:val="0"/>
              <w:overflowPunct/>
              <w:autoSpaceDE/>
              <w:autoSpaceDN/>
              <w:adjustRightInd/>
              <w:textAlignment w:val="auto"/>
              <w:rPr>
                <w:rFonts w:ascii="Arial" w:hAnsi="Arial" w:cs="Arial"/>
                <w:color w:val="000000"/>
                <w:kern w:val="0"/>
                <w:sz w:val="22"/>
                <w:szCs w:val="22"/>
              </w:rPr>
            </w:pPr>
            <w:r w:rsidRPr="002572A7">
              <w:rPr>
                <w:rFonts w:ascii="Arial" w:hAnsi="Arial" w:cs="Arial"/>
                <w:color w:val="000000"/>
                <w:kern w:val="0"/>
                <w:sz w:val="22"/>
                <w:szCs w:val="22"/>
              </w:rPr>
              <w:t>Exams</w:t>
            </w:r>
          </w:p>
        </w:tc>
        <w:tc>
          <w:tcPr>
            <w:tcW w:w="1488" w:type="dxa"/>
            <w:tcBorders>
              <w:top w:val="nil"/>
              <w:left w:val="nil"/>
              <w:bottom w:val="single" w:sz="4" w:space="0" w:color="auto"/>
              <w:right w:val="single" w:sz="4" w:space="0" w:color="auto"/>
            </w:tcBorders>
            <w:shd w:val="clear" w:color="auto" w:fill="auto"/>
            <w:noWrap/>
            <w:vAlign w:val="center"/>
            <w:hideMark/>
          </w:tcPr>
          <w:p w14:paraId="0E6F6399"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200</w:t>
            </w:r>
          </w:p>
        </w:tc>
        <w:tc>
          <w:tcPr>
            <w:tcW w:w="801" w:type="dxa"/>
            <w:tcBorders>
              <w:top w:val="nil"/>
              <w:left w:val="nil"/>
              <w:bottom w:val="single" w:sz="4" w:space="0" w:color="auto"/>
              <w:right w:val="single" w:sz="4" w:space="0" w:color="auto"/>
            </w:tcBorders>
            <w:shd w:val="clear" w:color="auto" w:fill="auto"/>
            <w:noWrap/>
            <w:vAlign w:val="center"/>
            <w:hideMark/>
          </w:tcPr>
          <w:p w14:paraId="624C95E2"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2F1EECDF"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400</w:t>
            </w:r>
          </w:p>
        </w:tc>
        <w:tc>
          <w:tcPr>
            <w:tcW w:w="1329" w:type="dxa"/>
            <w:tcBorders>
              <w:top w:val="nil"/>
              <w:left w:val="nil"/>
              <w:bottom w:val="single" w:sz="4" w:space="0" w:color="auto"/>
              <w:right w:val="single" w:sz="4" w:space="0" w:color="auto"/>
            </w:tcBorders>
            <w:shd w:val="clear" w:color="auto" w:fill="auto"/>
            <w:noWrap/>
            <w:vAlign w:val="bottom"/>
            <w:hideMark/>
          </w:tcPr>
          <w:p w14:paraId="507204D2"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47%</w:t>
            </w:r>
          </w:p>
        </w:tc>
      </w:tr>
      <w:tr w:rsidR="002572A7" w:rsidRPr="002572A7" w14:paraId="02CC694C" w14:textId="77777777" w:rsidTr="00BE20A1">
        <w:trPr>
          <w:trHeight w:val="300"/>
          <w:jc w:val="center"/>
        </w:trPr>
        <w:tc>
          <w:tcPr>
            <w:tcW w:w="2491" w:type="dxa"/>
            <w:tcBorders>
              <w:top w:val="nil"/>
              <w:left w:val="single" w:sz="4" w:space="0" w:color="auto"/>
              <w:bottom w:val="single" w:sz="4" w:space="0" w:color="auto"/>
              <w:right w:val="single" w:sz="4" w:space="0" w:color="auto"/>
            </w:tcBorders>
            <w:shd w:val="clear" w:color="auto" w:fill="auto"/>
            <w:noWrap/>
            <w:vAlign w:val="center"/>
            <w:hideMark/>
          </w:tcPr>
          <w:p w14:paraId="6332163E" w14:textId="77777777" w:rsidR="002572A7" w:rsidRPr="002572A7" w:rsidRDefault="002572A7" w:rsidP="002572A7">
            <w:pPr>
              <w:suppressAutoHyphens w:val="0"/>
              <w:overflowPunct/>
              <w:autoSpaceDE/>
              <w:autoSpaceDN/>
              <w:adjustRightInd/>
              <w:textAlignment w:val="auto"/>
              <w:rPr>
                <w:rFonts w:ascii="Arial" w:hAnsi="Arial" w:cs="Arial"/>
                <w:color w:val="000000"/>
                <w:kern w:val="0"/>
                <w:sz w:val="22"/>
                <w:szCs w:val="22"/>
              </w:rPr>
            </w:pPr>
            <w:r w:rsidRPr="002572A7">
              <w:rPr>
                <w:rFonts w:ascii="Arial" w:hAnsi="Arial" w:cs="Arial"/>
                <w:color w:val="000000"/>
                <w:kern w:val="0"/>
                <w:sz w:val="22"/>
                <w:szCs w:val="22"/>
              </w:rPr>
              <w:t>Final Examination</w:t>
            </w:r>
          </w:p>
        </w:tc>
        <w:tc>
          <w:tcPr>
            <w:tcW w:w="1488" w:type="dxa"/>
            <w:tcBorders>
              <w:top w:val="nil"/>
              <w:left w:val="nil"/>
              <w:bottom w:val="single" w:sz="4" w:space="0" w:color="auto"/>
              <w:right w:val="single" w:sz="4" w:space="0" w:color="auto"/>
            </w:tcBorders>
            <w:shd w:val="clear" w:color="auto" w:fill="auto"/>
            <w:noWrap/>
            <w:vAlign w:val="center"/>
            <w:hideMark/>
          </w:tcPr>
          <w:p w14:paraId="138C2A9C"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300</w:t>
            </w:r>
          </w:p>
        </w:tc>
        <w:tc>
          <w:tcPr>
            <w:tcW w:w="801" w:type="dxa"/>
            <w:tcBorders>
              <w:top w:val="nil"/>
              <w:left w:val="nil"/>
              <w:bottom w:val="single" w:sz="4" w:space="0" w:color="auto"/>
              <w:right w:val="single" w:sz="4" w:space="0" w:color="auto"/>
            </w:tcBorders>
            <w:shd w:val="clear" w:color="auto" w:fill="auto"/>
            <w:noWrap/>
            <w:vAlign w:val="center"/>
            <w:hideMark/>
          </w:tcPr>
          <w:p w14:paraId="034B4D3C"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ADEB0DD"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300</w:t>
            </w:r>
          </w:p>
        </w:tc>
        <w:tc>
          <w:tcPr>
            <w:tcW w:w="1329" w:type="dxa"/>
            <w:tcBorders>
              <w:top w:val="nil"/>
              <w:left w:val="nil"/>
              <w:bottom w:val="single" w:sz="4" w:space="0" w:color="auto"/>
              <w:right w:val="single" w:sz="4" w:space="0" w:color="auto"/>
            </w:tcBorders>
            <w:shd w:val="clear" w:color="auto" w:fill="auto"/>
            <w:noWrap/>
            <w:vAlign w:val="bottom"/>
            <w:hideMark/>
          </w:tcPr>
          <w:p w14:paraId="4C3405B9"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35%</w:t>
            </w:r>
          </w:p>
        </w:tc>
      </w:tr>
      <w:tr w:rsidR="002572A7" w:rsidRPr="002572A7" w14:paraId="17C8903E" w14:textId="77777777" w:rsidTr="00BE20A1">
        <w:trPr>
          <w:trHeight w:val="300"/>
          <w:jc w:val="center"/>
        </w:trPr>
        <w:tc>
          <w:tcPr>
            <w:tcW w:w="2491" w:type="dxa"/>
            <w:tcBorders>
              <w:top w:val="nil"/>
              <w:left w:val="nil"/>
              <w:bottom w:val="nil"/>
              <w:right w:val="nil"/>
            </w:tcBorders>
            <w:shd w:val="clear" w:color="auto" w:fill="auto"/>
            <w:noWrap/>
            <w:vAlign w:val="bottom"/>
            <w:hideMark/>
          </w:tcPr>
          <w:p w14:paraId="76F028FA"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p>
        </w:tc>
        <w:tc>
          <w:tcPr>
            <w:tcW w:w="1488" w:type="dxa"/>
            <w:tcBorders>
              <w:top w:val="nil"/>
              <w:left w:val="single" w:sz="4" w:space="0" w:color="auto"/>
              <w:bottom w:val="single" w:sz="4" w:space="0" w:color="auto"/>
              <w:right w:val="single" w:sz="4" w:space="0" w:color="auto"/>
            </w:tcBorders>
            <w:shd w:val="clear" w:color="auto" w:fill="auto"/>
            <w:noWrap/>
            <w:vAlign w:val="center"/>
            <w:hideMark/>
          </w:tcPr>
          <w:p w14:paraId="7660EAA4"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TOTAL</w:t>
            </w:r>
          </w:p>
        </w:tc>
        <w:tc>
          <w:tcPr>
            <w:tcW w:w="801" w:type="dxa"/>
            <w:tcBorders>
              <w:top w:val="nil"/>
              <w:left w:val="nil"/>
              <w:bottom w:val="single" w:sz="4" w:space="0" w:color="auto"/>
              <w:right w:val="single" w:sz="4" w:space="0" w:color="auto"/>
            </w:tcBorders>
            <w:shd w:val="clear" w:color="auto" w:fill="auto"/>
            <w:noWrap/>
            <w:vAlign w:val="center"/>
            <w:hideMark/>
          </w:tcPr>
          <w:p w14:paraId="7F169507"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 </w:t>
            </w:r>
          </w:p>
        </w:tc>
        <w:tc>
          <w:tcPr>
            <w:tcW w:w="960" w:type="dxa"/>
            <w:tcBorders>
              <w:top w:val="nil"/>
              <w:left w:val="nil"/>
              <w:bottom w:val="single" w:sz="4" w:space="0" w:color="auto"/>
              <w:right w:val="single" w:sz="4" w:space="0" w:color="auto"/>
            </w:tcBorders>
            <w:shd w:val="clear" w:color="auto" w:fill="auto"/>
            <w:noWrap/>
            <w:vAlign w:val="center"/>
            <w:hideMark/>
          </w:tcPr>
          <w:p w14:paraId="20602CB3"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850</w:t>
            </w:r>
          </w:p>
        </w:tc>
        <w:tc>
          <w:tcPr>
            <w:tcW w:w="1329" w:type="dxa"/>
            <w:tcBorders>
              <w:top w:val="nil"/>
              <w:left w:val="nil"/>
              <w:bottom w:val="single" w:sz="4" w:space="0" w:color="auto"/>
              <w:right w:val="single" w:sz="4" w:space="0" w:color="auto"/>
            </w:tcBorders>
            <w:shd w:val="clear" w:color="auto" w:fill="auto"/>
            <w:noWrap/>
            <w:vAlign w:val="bottom"/>
            <w:hideMark/>
          </w:tcPr>
          <w:p w14:paraId="249F8BF2" w14:textId="77777777" w:rsidR="002572A7" w:rsidRPr="002572A7" w:rsidRDefault="002572A7" w:rsidP="002572A7">
            <w:pPr>
              <w:suppressAutoHyphens w:val="0"/>
              <w:overflowPunct/>
              <w:autoSpaceDE/>
              <w:autoSpaceDN/>
              <w:adjustRightInd/>
              <w:jc w:val="right"/>
              <w:textAlignment w:val="auto"/>
              <w:rPr>
                <w:rFonts w:ascii="Arial" w:hAnsi="Arial" w:cs="Arial"/>
                <w:color w:val="000000"/>
                <w:kern w:val="0"/>
                <w:sz w:val="22"/>
                <w:szCs w:val="22"/>
              </w:rPr>
            </w:pPr>
            <w:r w:rsidRPr="002572A7">
              <w:rPr>
                <w:rFonts w:ascii="Arial" w:hAnsi="Arial" w:cs="Arial"/>
                <w:color w:val="000000"/>
                <w:kern w:val="0"/>
                <w:sz w:val="22"/>
                <w:szCs w:val="22"/>
              </w:rPr>
              <w:t>100%</w:t>
            </w:r>
          </w:p>
        </w:tc>
      </w:tr>
    </w:tbl>
    <w:p w14:paraId="7E90C335" w14:textId="14CE2A20" w:rsidR="00DF0FD2" w:rsidRPr="00A872FE" w:rsidRDefault="00DF0FD2" w:rsidP="003E6C52">
      <w:pPr>
        <w:spacing w:after="120"/>
        <w:rPr>
          <w:rFonts w:ascii="Arial" w:hAnsi="Arial" w:cs="Arial"/>
          <w:sz w:val="20"/>
        </w:rPr>
      </w:pPr>
    </w:p>
    <w:p w14:paraId="5B49836E" w14:textId="77777777" w:rsidR="00BE67BD" w:rsidRPr="00A872FE" w:rsidRDefault="00BE67BD" w:rsidP="00BE67BD">
      <w:pPr>
        <w:ind w:left="360"/>
        <w:rPr>
          <w:rFonts w:ascii="Arial" w:hAnsi="Arial" w:cs="Arial"/>
          <w:sz w:val="20"/>
        </w:rPr>
      </w:pPr>
      <w:r w:rsidRPr="00A872FE">
        <w:rPr>
          <w:rFonts w:ascii="Arial" w:hAnsi="Arial" w:cs="Arial"/>
          <w:sz w:val="20"/>
        </w:rPr>
        <w:t>A – 85% - 100%</w:t>
      </w:r>
    </w:p>
    <w:p w14:paraId="2E440202" w14:textId="77777777" w:rsidR="00BE67BD" w:rsidRPr="00A872FE" w:rsidRDefault="00BE67BD" w:rsidP="00BE67BD">
      <w:pPr>
        <w:ind w:left="360"/>
        <w:rPr>
          <w:rFonts w:ascii="Arial" w:hAnsi="Arial" w:cs="Arial"/>
          <w:sz w:val="20"/>
        </w:rPr>
      </w:pPr>
      <w:r w:rsidRPr="00A872FE">
        <w:rPr>
          <w:rFonts w:ascii="Arial" w:hAnsi="Arial" w:cs="Arial"/>
          <w:sz w:val="20"/>
        </w:rPr>
        <w:t>B – 75% - 84%</w:t>
      </w:r>
    </w:p>
    <w:p w14:paraId="020DC18D" w14:textId="77777777" w:rsidR="00BE67BD" w:rsidRPr="00A872FE" w:rsidRDefault="00BE67BD" w:rsidP="00BE67BD">
      <w:pPr>
        <w:ind w:left="360"/>
        <w:rPr>
          <w:rFonts w:ascii="Arial" w:hAnsi="Arial" w:cs="Arial"/>
          <w:sz w:val="20"/>
        </w:rPr>
      </w:pPr>
      <w:r w:rsidRPr="00A872FE">
        <w:rPr>
          <w:rFonts w:ascii="Arial" w:hAnsi="Arial" w:cs="Arial"/>
          <w:sz w:val="20"/>
        </w:rPr>
        <w:t>C – 60% - 74%</w:t>
      </w:r>
    </w:p>
    <w:p w14:paraId="64C6E1E3" w14:textId="77777777" w:rsidR="00BE67BD" w:rsidRPr="00A872FE" w:rsidRDefault="00BE67BD" w:rsidP="00BE67BD">
      <w:pPr>
        <w:ind w:left="360"/>
        <w:rPr>
          <w:rFonts w:ascii="Arial" w:hAnsi="Arial" w:cs="Arial"/>
          <w:sz w:val="20"/>
        </w:rPr>
      </w:pPr>
      <w:r w:rsidRPr="00A872FE">
        <w:rPr>
          <w:rFonts w:ascii="Arial" w:hAnsi="Arial" w:cs="Arial"/>
          <w:sz w:val="20"/>
        </w:rPr>
        <w:t>F – 0% - 59%</w:t>
      </w:r>
    </w:p>
    <w:p w14:paraId="3CD4ACFD" w14:textId="77777777" w:rsidR="00BE67BD" w:rsidRPr="00A872FE" w:rsidRDefault="00BE67BD" w:rsidP="00BE67BD">
      <w:pPr>
        <w:ind w:leftChars="163" w:left="391"/>
        <w:rPr>
          <w:rFonts w:ascii="Arial" w:hAnsi="Arial" w:cs="Arial"/>
          <w:sz w:val="20"/>
        </w:rPr>
      </w:pPr>
    </w:p>
    <w:p w14:paraId="45FD497D" w14:textId="639426E9" w:rsidR="00BE67BD" w:rsidRPr="00A872FE" w:rsidRDefault="00BE67BD" w:rsidP="00BE67BD">
      <w:pPr>
        <w:rPr>
          <w:rFonts w:ascii="Arial" w:hAnsi="Arial" w:cs="Arial"/>
          <w:sz w:val="20"/>
        </w:rPr>
      </w:pPr>
      <w:r w:rsidRPr="00A872FE">
        <w:rPr>
          <w:rFonts w:ascii="Arial" w:hAnsi="Arial" w:cs="Arial"/>
          <w:sz w:val="20"/>
        </w:rPr>
        <w:t>An “F” grade will not count for transfer credit for any FPST curriculum course.</w:t>
      </w:r>
    </w:p>
    <w:p w14:paraId="45A5A537" w14:textId="77777777" w:rsidR="00BE67BD" w:rsidRPr="00A872FE" w:rsidRDefault="00BE67BD" w:rsidP="00BE67BD">
      <w:pPr>
        <w:rPr>
          <w:rFonts w:ascii="Arial" w:hAnsi="Arial" w:cs="Arial"/>
          <w:sz w:val="20"/>
        </w:rPr>
      </w:pPr>
    </w:p>
    <w:p w14:paraId="20F9299D" w14:textId="77777777" w:rsidR="00BE67BD" w:rsidRPr="00A872FE" w:rsidRDefault="00BE67BD" w:rsidP="00BE67BD">
      <w:pPr>
        <w:ind w:leftChars="163" w:left="391"/>
        <w:rPr>
          <w:rFonts w:ascii="Arial" w:hAnsi="Arial" w:cs="Arial"/>
          <w:sz w:val="20"/>
        </w:rPr>
      </w:pPr>
      <w:r w:rsidRPr="00A872FE">
        <w:rPr>
          <w:rFonts w:ascii="Arial" w:hAnsi="Arial" w:cs="Arial"/>
          <w:sz w:val="20"/>
        </w:rPr>
        <w:t>Students scoring below a 60% for the entire course may retake the final exam one time.  The “retake” score will only substitute for the original final exam score if the retake score is higher.  The higher score of the two final exams will be used to calculate the student’s final course grade.  The OSU instructor will recalculate the final grade and might require the assistance of SWJTU staff.</w:t>
      </w:r>
    </w:p>
    <w:p w14:paraId="11BE206A" w14:textId="77777777" w:rsidR="00BE67BD" w:rsidRPr="00A872FE" w:rsidRDefault="00BE67BD" w:rsidP="00BE67BD">
      <w:pPr>
        <w:ind w:leftChars="163" w:left="391"/>
        <w:rPr>
          <w:rFonts w:ascii="Arial" w:hAnsi="Arial" w:cs="Arial"/>
          <w:sz w:val="20"/>
        </w:rPr>
      </w:pPr>
    </w:p>
    <w:p w14:paraId="1E73D5F2" w14:textId="77777777" w:rsidR="00E80616" w:rsidRPr="00A872FE" w:rsidRDefault="00E80616" w:rsidP="003E6C52">
      <w:pPr>
        <w:pStyle w:val="Heading1"/>
        <w:spacing w:after="120"/>
        <w:rPr>
          <w:rFonts w:ascii="Arial" w:hAnsi="Arial" w:cs="Arial"/>
          <w:sz w:val="20"/>
          <w:u w:val="single"/>
        </w:rPr>
      </w:pPr>
      <w:r w:rsidRPr="00A872FE">
        <w:rPr>
          <w:rFonts w:ascii="Arial" w:hAnsi="Arial" w:cs="Arial"/>
          <w:sz w:val="20"/>
          <w:u w:val="single"/>
        </w:rPr>
        <w:t>Academic Misconduct:</w:t>
      </w:r>
    </w:p>
    <w:p w14:paraId="486CAC3B" w14:textId="77777777" w:rsidR="00A872FE" w:rsidRPr="00A872FE" w:rsidRDefault="00A872FE" w:rsidP="00A872FE">
      <w:pPr>
        <w:spacing w:after="120"/>
        <w:ind w:left="360"/>
        <w:rPr>
          <w:rFonts w:ascii="Arial" w:hAnsi="Arial" w:cs="Arial"/>
          <w:sz w:val="20"/>
        </w:rPr>
      </w:pPr>
      <w:bookmarkStart w:id="0" w:name="_Hlk31966499"/>
      <w:r w:rsidRPr="00A872FE">
        <w:rPr>
          <w:rFonts w:ascii="Arial" w:hAnsi="Arial" w:cs="Arial"/>
          <w:sz w:val="20"/>
        </w:rPr>
        <w:t xml:space="preserve">Copying the work of another for personal credit is </w:t>
      </w:r>
      <w:r w:rsidRPr="00A872FE">
        <w:rPr>
          <w:rFonts w:ascii="Arial" w:hAnsi="Arial" w:cs="Arial"/>
          <w:b/>
          <w:sz w:val="20"/>
        </w:rPr>
        <w:t>plagiarism</w:t>
      </w:r>
      <w:r w:rsidRPr="00A872FE">
        <w:rPr>
          <w:rFonts w:ascii="Arial" w:hAnsi="Arial" w:cs="Arial"/>
          <w:sz w:val="20"/>
        </w:rPr>
        <w:t xml:space="preserve"> whether the work is a published work or the unpublished work of another student.  Plagiarism in a grade of zero for the assignment.   Academic dishonesty includes both giving and taking of improper assistance on writing assignments or examinations as well as any other form of attempting to gain credit for work that is not that of the student.</w:t>
      </w:r>
      <w:bookmarkEnd w:id="0"/>
    </w:p>
    <w:p w14:paraId="018FBD4F" w14:textId="77777777" w:rsidR="009C6AB5" w:rsidRPr="00A872FE" w:rsidRDefault="009C6AB5" w:rsidP="009C6AB5">
      <w:pPr>
        <w:spacing w:after="120"/>
        <w:rPr>
          <w:rFonts w:ascii="Arial" w:hAnsi="Arial" w:cs="Arial"/>
          <w:b/>
          <w:sz w:val="20"/>
          <w:u w:val="single"/>
        </w:rPr>
      </w:pPr>
      <w:r w:rsidRPr="00A872FE">
        <w:rPr>
          <w:rFonts w:ascii="Arial" w:hAnsi="Arial" w:cs="Arial"/>
          <w:b/>
          <w:sz w:val="20"/>
          <w:u w:val="single"/>
        </w:rPr>
        <w:t>Amendments:</w:t>
      </w:r>
    </w:p>
    <w:p w14:paraId="025E1E46" w14:textId="2A9DEBC1" w:rsidR="009C6AB5" w:rsidRPr="00A872FE" w:rsidRDefault="00BE67BD" w:rsidP="00A872FE">
      <w:pPr>
        <w:pStyle w:val="Heading1"/>
        <w:spacing w:after="120"/>
        <w:ind w:left="360"/>
        <w:rPr>
          <w:rFonts w:ascii="Arial" w:hAnsi="Arial" w:cs="Arial"/>
          <w:b w:val="0"/>
          <w:bCs/>
          <w:sz w:val="20"/>
        </w:rPr>
      </w:pPr>
      <w:r w:rsidRPr="00A872FE">
        <w:rPr>
          <w:rFonts w:ascii="Arial" w:hAnsi="Arial" w:cs="Arial"/>
          <w:b w:val="0"/>
          <w:bCs/>
          <w:sz w:val="20"/>
        </w:rPr>
        <w:t>Only the OSU instructor may adjust the requirements and/or schedule of the class as necessary.  Amendments will only be made if it is in the best interest of the learning experience.  Amendment notifications will be provided to the students</w:t>
      </w:r>
    </w:p>
    <w:p w14:paraId="076A2076" w14:textId="0D6BFE13" w:rsidR="00A872FE" w:rsidRPr="00A872FE" w:rsidRDefault="00A872FE">
      <w:pPr>
        <w:suppressAutoHyphens w:val="0"/>
        <w:overflowPunct/>
        <w:autoSpaceDE/>
        <w:autoSpaceDN/>
        <w:adjustRightInd/>
        <w:textAlignment w:val="auto"/>
        <w:rPr>
          <w:rFonts w:ascii="Arial" w:hAnsi="Arial" w:cs="Arial"/>
          <w:sz w:val="20"/>
        </w:rPr>
      </w:pPr>
      <w:r w:rsidRPr="00A872FE">
        <w:rPr>
          <w:rFonts w:ascii="Arial" w:hAnsi="Arial" w:cs="Arial"/>
          <w:sz w:val="20"/>
        </w:rPr>
        <w:br w:type="page"/>
      </w:r>
    </w:p>
    <w:p w14:paraId="0757C834" w14:textId="77777777" w:rsidR="00A872FE" w:rsidRPr="00A872FE" w:rsidRDefault="00A872FE" w:rsidP="00A872FE">
      <w:pPr>
        <w:spacing w:after="120"/>
        <w:rPr>
          <w:rFonts w:ascii="Arial" w:hAnsi="Arial" w:cs="Arial"/>
          <w:b/>
          <w:sz w:val="20"/>
          <w:u w:val="single"/>
        </w:rPr>
      </w:pPr>
      <w:r w:rsidRPr="00A872FE">
        <w:rPr>
          <w:rFonts w:ascii="Arial" w:hAnsi="Arial" w:cs="Arial"/>
          <w:b/>
          <w:sz w:val="20"/>
          <w:u w:val="single"/>
        </w:rPr>
        <w:lastRenderedPageBreak/>
        <w:t>Course Schedule</w:t>
      </w:r>
    </w:p>
    <w:p w14:paraId="02FEE304" w14:textId="6E0C541C" w:rsidR="00A872FE" w:rsidRPr="00A872FE" w:rsidRDefault="007D5EF9" w:rsidP="00A872FE">
      <w:pPr>
        <w:pStyle w:val="BodyText"/>
        <w:rPr>
          <w:rFonts w:ascii="Arial" w:hAnsi="Arial" w:cs="Arial"/>
          <w:sz w:val="20"/>
        </w:rPr>
      </w:pPr>
      <w:r w:rsidRPr="007D5EF9">
        <w:rPr>
          <w:noProof/>
        </w:rPr>
        <w:drawing>
          <wp:inline distT="0" distB="0" distL="0" distR="0" wp14:anchorId="7C9D3BC0" wp14:editId="51C7837E">
            <wp:extent cx="5391150" cy="441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410075"/>
                    </a:xfrm>
                    <a:prstGeom prst="rect">
                      <a:avLst/>
                    </a:prstGeom>
                    <a:noFill/>
                    <a:ln>
                      <a:noFill/>
                    </a:ln>
                  </pic:spPr>
                </pic:pic>
              </a:graphicData>
            </a:graphic>
          </wp:inline>
        </w:drawing>
      </w:r>
      <w:bookmarkStart w:id="1" w:name="_GoBack"/>
      <w:bookmarkEnd w:id="1"/>
    </w:p>
    <w:sectPr w:rsidR="00A872FE" w:rsidRPr="00A872FE" w:rsidSect="00EE6E1D">
      <w:headerReference w:type="default" r:id="rId10"/>
      <w:footerReference w:type="default" r:id="rId11"/>
      <w:headerReference w:type="first" r:id="rId12"/>
      <w:footnotePr>
        <w:pos w:val="beneathText"/>
      </w:footnotePr>
      <w:pgSz w:w="12240" w:h="15840"/>
      <w:pgMar w:top="1716" w:right="1350" w:bottom="1296" w:left="172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8399F" w14:textId="77777777" w:rsidR="00C26E1F" w:rsidRDefault="00C26E1F">
      <w:r>
        <w:separator/>
      </w:r>
    </w:p>
  </w:endnote>
  <w:endnote w:type="continuationSeparator" w:id="0">
    <w:p w14:paraId="4434D09E" w14:textId="77777777" w:rsidR="00C26E1F" w:rsidRDefault="00C2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090F0000" w:usb2="00000010"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4469" w14:textId="7242843A" w:rsidR="00E80616" w:rsidRPr="00A872FE" w:rsidRDefault="00CE7A4C">
    <w:pPr>
      <w:pStyle w:val="Footer"/>
      <w:jc w:val="center"/>
      <w:rPr>
        <w:rFonts w:ascii="Arial" w:hAnsi="Arial" w:cs="Arial"/>
        <w:sz w:val="20"/>
      </w:rPr>
    </w:pPr>
    <w:r w:rsidRPr="00A872FE">
      <w:rPr>
        <w:rFonts w:ascii="Arial" w:hAnsi="Arial" w:cs="Arial"/>
        <w:sz w:val="20"/>
      </w:rPr>
      <w:t xml:space="preserve">Page </w:t>
    </w:r>
    <w:r w:rsidR="000F2A6C" w:rsidRPr="00A872FE">
      <w:rPr>
        <w:rFonts w:ascii="Arial" w:hAnsi="Arial" w:cs="Arial"/>
        <w:sz w:val="20"/>
      </w:rPr>
      <w:fldChar w:fldCharType="begin"/>
    </w:r>
    <w:r w:rsidR="000F2A6C" w:rsidRPr="00A872FE">
      <w:rPr>
        <w:rFonts w:ascii="Arial" w:hAnsi="Arial" w:cs="Arial"/>
        <w:sz w:val="20"/>
      </w:rPr>
      <w:instrText xml:space="preserve"> PAGE </w:instrText>
    </w:r>
    <w:r w:rsidR="000F2A6C" w:rsidRPr="00A872FE">
      <w:rPr>
        <w:rFonts w:ascii="Arial" w:hAnsi="Arial" w:cs="Arial"/>
        <w:sz w:val="20"/>
      </w:rPr>
      <w:fldChar w:fldCharType="separate"/>
    </w:r>
    <w:r w:rsidR="00C7053A" w:rsidRPr="00A872FE">
      <w:rPr>
        <w:rFonts w:ascii="Arial" w:hAnsi="Arial" w:cs="Arial"/>
        <w:noProof/>
        <w:sz w:val="20"/>
      </w:rPr>
      <w:t>6</w:t>
    </w:r>
    <w:r w:rsidR="000F2A6C" w:rsidRPr="00A872FE">
      <w:rPr>
        <w:rFonts w:ascii="Arial" w:hAnsi="Arial" w:cs="Arial"/>
        <w:sz w:val="20"/>
      </w:rPr>
      <w:fldChar w:fldCharType="end"/>
    </w:r>
    <w:r w:rsidRPr="00A872FE">
      <w:rPr>
        <w:rFonts w:ascii="Arial" w:hAnsi="Arial" w:cs="Arial"/>
        <w:sz w:val="20"/>
      </w:rPr>
      <w:t xml:space="preserve"> of </w:t>
    </w:r>
    <w:r w:rsidR="00F115CB" w:rsidRPr="00A872FE">
      <w:rPr>
        <w:rFonts w:ascii="Arial" w:hAnsi="Arial" w:cs="Arial"/>
        <w:noProof/>
        <w:sz w:val="20"/>
      </w:rPr>
      <w:fldChar w:fldCharType="begin"/>
    </w:r>
    <w:r w:rsidR="00F115CB" w:rsidRPr="00A872FE">
      <w:rPr>
        <w:rFonts w:ascii="Arial" w:hAnsi="Arial" w:cs="Arial"/>
        <w:noProof/>
        <w:sz w:val="20"/>
      </w:rPr>
      <w:instrText xml:space="preserve"> NUMPAGES   \* MERGEFORMAT </w:instrText>
    </w:r>
    <w:r w:rsidR="00F115CB" w:rsidRPr="00A872FE">
      <w:rPr>
        <w:rFonts w:ascii="Arial" w:hAnsi="Arial" w:cs="Arial"/>
        <w:noProof/>
        <w:sz w:val="20"/>
      </w:rPr>
      <w:fldChar w:fldCharType="separate"/>
    </w:r>
    <w:r w:rsidR="00C7053A" w:rsidRPr="00A872FE">
      <w:rPr>
        <w:rFonts w:ascii="Arial" w:hAnsi="Arial" w:cs="Arial"/>
        <w:noProof/>
        <w:sz w:val="20"/>
      </w:rPr>
      <w:t>6</w:t>
    </w:r>
    <w:r w:rsidR="00F115CB" w:rsidRPr="00A872FE">
      <w:rPr>
        <w:rFonts w:ascii="Arial" w:hAnsi="Arial"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B2445" w14:textId="77777777" w:rsidR="00C26E1F" w:rsidRDefault="00C26E1F">
      <w:r>
        <w:separator/>
      </w:r>
    </w:p>
  </w:footnote>
  <w:footnote w:type="continuationSeparator" w:id="0">
    <w:p w14:paraId="185684FC" w14:textId="77777777" w:rsidR="00C26E1F" w:rsidRDefault="00C2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294"/>
      <w:gridCol w:w="1752"/>
    </w:tblGrid>
    <w:tr w:rsidR="00EE6E1D" w14:paraId="33732617" w14:textId="77777777" w:rsidTr="006D639F">
      <w:trPr>
        <w:trHeight w:val="299"/>
      </w:trPr>
      <w:tc>
        <w:tcPr>
          <w:tcW w:w="1116" w:type="dxa"/>
          <w:vMerge w:val="restart"/>
          <w:vAlign w:val="center"/>
        </w:tcPr>
        <w:p w14:paraId="7664D201" w14:textId="77777777" w:rsidR="00EE6E1D" w:rsidRDefault="00EE6E1D" w:rsidP="00EE6E1D">
          <w:pPr>
            <w:pStyle w:val="Header"/>
            <w:jc w:val="center"/>
          </w:pPr>
          <w:r>
            <w:rPr>
              <w:noProof/>
            </w:rPr>
            <w:drawing>
              <wp:inline distT="0" distB="0" distL="0" distR="0" wp14:anchorId="6C33EDC2" wp14:editId="1F351BF2">
                <wp:extent cx="563880" cy="60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880" cy="601980"/>
                        </a:xfrm>
                        <a:prstGeom prst="rect">
                          <a:avLst/>
                        </a:prstGeom>
                        <a:noFill/>
                      </pic:spPr>
                    </pic:pic>
                  </a:graphicData>
                </a:graphic>
              </wp:inline>
            </w:drawing>
          </w:r>
        </w:p>
      </w:tc>
      <w:tc>
        <w:tcPr>
          <w:tcW w:w="7922" w:type="dxa"/>
          <w:tcBorders>
            <w:bottom w:val="single" w:sz="4" w:space="0" w:color="auto"/>
          </w:tcBorders>
          <w:vAlign w:val="center"/>
        </w:tcPr>
        <w:p w14:paraId="14D96960" w14:textId="77777777" w:rsidR="00EE6E1D" w:rsidRPr="00D572E7" w:rsidRDefault="00EE6E1D" w:rsidP="00EE6E1D">
          <w:pPr>
            <w:pStyle w:val="Header"/>
            <w:jc w:val="center"/>
            <w:rPr>
              <w:rFonts w:ascii="Arial" w:hAnsi="Arial" w:cs="Arial"/>
              <w:sz w:val="18"/>
              <w:szCs w:val="18"/>
            </w:rPr>
          </w:pPr>
          <w:r w:rsidRPr="00D572E7">
            <w:rPr>
              <w:rFonts w:ascii="Arial" w:hAnsi="Arial" w:cs="Arial"/>
              <w:sz w:val="18"/>
              <w:szCs w:val="18"/>
            </w:rPr>
            <w:t xml:space="preserve">Collaborative Bachelor’s Degree Program of Fire Protection and Safety Engineering Technology between Southwest </w:t>
          </w:r>
          <w:proofErr w:type="spellStart"/>
          <w:r w:rsidRPr="00D572E7">
            <w:rPr>
              <w:rFonts w:ascii="Arial" w:hAnsi="Arial" w:cs="Arial"/>
              <w:sz w:val="18"/>
              <w:szCs w:val="18"/>
            </w:rPr>
            <w:t>Jiaotong</w:t>
          </w:r>
          <w:proofErr w:type="spellEnd"/>
          <w:r w:rsidRPr="00D572E7">
            <w:rPr>
              <w:rFonts w:ascii="Arial" w:hAnsi="Arial" w:cs="Arial"/>
              <w:sz w:val="18"/>
              <w:szCs w:val="18"/>
            </w:rPr>
            <w:t xml:space="preserve"> University and Oklahoma State University, U.S.A.</w:t>
          </w:r>
        </w:p>
      </w:tc>
      <w:tc>
        <w:tcPr>
          <w:tcW w:w="1752" w:type="dxa"/>
          <w:vMerge w:val="restart"/>
          <w:vAlign w:val="center"/>
        </w:tcPr>
        <w:p w14:paraId="73AC48D6" w14:textId="77777777" w:rsidR="00EE6E1D" w:rsidRDefault="00EE6E1D" w:rsidP="00EE6E1D">
          <w:pPr>
            <w:pStyle w:val="Header"/>
            <w:jc w:val="center"/>
          </w:pPr>
          <w:r>
            <w:rPr>
              <w:noProof/>
            </w:rPr>
            <w:drawing>
              <wp:inline distT="0" distB="0" distL="0" distR="0" wp14:anchorId="537DDF1E" wp14:editId="1EE55153">
                <wp:extent cx="97536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525780"/>
                        </a:xfrm>
                        <a:prstGeom prst="rect">
                          <a:avLst/>
                        </a:prstGeom>
                        <a:noFill/>
                      </pic:spPr>
                    </pic:pic>
                  </a:graphicData>
                </a:graphic>
              </wp:inline>
            </w:drawing>
          </w:r>
        </w:p>
      </w:tc>
    </w:tr>
    <w:tr w:rsidR="00EE6E1D" w14:paraId="0F10AAE5" w14:textId="77777777" w:rsidTr="006D639F">
      <w:trPr>
        <w:trHeight w:val="299"/>
      </w:trPr>
      <w:tc>
        <w:tcPr>
          <w:tcW w:w="1116" w:type="dxa"/>
          <w:vMerge/>
          <w:vAlign w:val="center"/>
        </w:tcPr>
        <w:p w14:paraId="63890D01" w14:textId="77777777" w:rsidR="00EE6E1D" w:rsidRDefault="00EE6E1D" w:rsidP="00EE6E1D">
          <w:pPr>
            <w:pStyle w:val="Header"/>
            <w:jc w:val="center"/>
            <w:rPr>
              <w:noProof/>
            </w:rPr>
          </w:pPr>
        </w:p>
      </w:tc>
      <w:tc>
        <w:tcPr>
          <w:tcW w:w="7922" w:type="dxa"/>
          <w:tcBorders>
            <w:top w:val="single" w:sz="4" w:space="0" w:color="auto"/>
          </w:tcBorders>
        </w:tcPr>
        <w:p w14:paraId="1BC4D89A" w14:textId="77777777" w:rsidR="00EE6E1D" w:rsidRDefault="00EE6E1D" w:rsidP="00EE6E1D">
          <w:pPr>
            <w:pStyle w:val="Header"/>
          </w:pPr>
        </w:p>
      </w:tc>
      <w:tc>
        <w:tcPr>
          <w:tcW w:w="1752" w:type="dxa"/>
          <w:vMerge/>
          <w:vAlign w:val="center"/>
        </w:tcPr>
        <w:p w14:paraId="69B63B5F" w14:textId="77777777" w:rsidR="00EE6E1D" w:rsidRDefault="00EE6E1D" w:rsidP="00EE6E1D">
          <w:pPr>
            <w:pStyle w:val="Header"/>
            <w:jc w:val="center"/>
            <w:rPr>
              <w:noProof/>
            </w:rPr>
          </w:pPr>
        </w:p>
      </w:tc>
    </w:tr>
  </w:tbl>
  <w:p w14:paraId="50064EF1" w14:textId="77777777" w:rsidR="00616EC2" w:rsidRPr="00EE6E1D" w:rsidRDefault="00616EC2" w:rsidP="00EE6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294"/>
      <w:gridCol w:w="1752"/>
    </w:tblGrid>
    <w:tr w:rsidR="00A872FE" w14:paraId="6F73C112" w14:textId="77777777" w:rsidTr="006D639F">
      <w:trPr>
        <w:trHeight w:val="299"/>
      </w:trPr>
      <w:tc>
        <w:tcPr>
          <w:tcW w:w="1116" w:type="dxa"/>
          <w:vMerge w:val="restart"/>
          <w:vAlign w:val="center"/>
        </w:tcPr>
        <w:p w14:paraId="2B496C7C" w14:textId="77777777" w:rsidR="00A872FE" w:rsidRDefault="00A872FE" w:rsidP="00A872FE">
          <w:pPr>
            <w:pStyle w:val="Header"/>
            <w:jc w:val="center"/>
          </w:pPr>
          <w:r>
            <w:rPr>
              <w:noProof/>
            </w:rPr>
            <w:drawing>
              <wp:inline distT="0" distB="0" distL="0" distR="0" wp14:anchorId="0B47D603" wp14:editId="5DE9E996">
                <wp:extent cx="563880" cy="601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880" cy="601980"/>
                        </a:xfrm>
                        <a:prstGeom prst="rect">
                          <a:avLst/>
                        </a:prstGeom>
                        <a:noFill/>
                      </pic:spPr>
                    </pic:pic>
                  </a:graphicData>
                </a:graphic>
              </wp:inline>
            </w:drawing>
          </w:r>
        </w:p>
      </w:tc>
      <w:tc>
        <w:tcPr>
          <w:tcW w:w="7922" w:type="dxa"/>
          <w:tcBorders>
            <w:bottom w:val="single" w:sz="4" w:space="0" w:color="auto"/>
          </w:tcBorders>
          <w:vAlign w:val="center"/>
        </w:tcPr>
        <w:p w14:paraId="3AD38D71" w14:textId="77777777" w:rsidR="00A872FE" w:rsidRPr="00D572E7" w:rsidRDefault="00A872FE" w:rsidP="00A872FE">
          <w:pPr>
            <w:pStyle w:val="Header"/>
            <w:jc w:val="center"/>
            <w:rPr>
              <w:rFonts w:ascii="Arial" w:hAnsi="Arial" w:cs="Arial"/>
              <w:sz w:val="18"/>
              <w:szCs w:val="18"/>
            </w:rPr>
          </w:pPr>
          <w:r w:rsidRPr="00D572E7">
            <w:rPr>
              <w:rFonts w:ascii="Arial" w:hAnsi="Arial" w:cs="Arial"/>
              <w:sz w:val="18"/>
              <w:szCs w:val="18"/>
            </w:rPr>
            <w:t xml:space="preserve">Collaborative Bachelor’s Degree Program of Fire Protection and Safety Engineering Technology between Southwest </w:t>
          </w:r>
          <w:proofErr w:type="spellStart"/>
          <w:r w:rsidRPr="00D572E7">
            <w:rPr>
              <w:rFonts w:ascii="Arial" w:hAnsi="Arial" w:cs="Arial"/>
              <w:sz w:val="18"/>
              <w:szCs w:val="18"/>
            </w:rPr>
            <w:t>Jiaotong</w:t>
          </w:r>
          <w:proofErr w:type="spellEnd"/>
          <w:r w:rsidRPr="00D572E7">
            <w:rPr>
              <w:rFonts w:ascii="Arial" w:hAnsi="Arial" w:cs="Arial"/>
              <w:sz w:val="18"/>
              <w:szCs w:val="18"/>
            </w:rPr>
            <w:t xml:space="preserve"> University and Oklahoma State University, U.S.A.</w:t>
          </w:r>
        </w:p>
      </w:tc>
      <w:tc>
        <w:tcPr>
          <w:tcW w:w="1752" w:type="dxa"/>
          <w:vMerge w:val="restart"/>
          <w:vAlign w:val="center"/>
        </w:tcPr>
        <w:p w14:paraId="60E5EAF6" w14:textId="77777777" w:rsidR="00A872FE" w:rsidRDefault="00A872FE" w:rsidP="00A872FE">
          <w:pPr>
            <w:pStyle w:val="Header"/>
            <w:jc w:val="center"/>
          </w:pPr>
          <w:r>
            <w:rPr>
              <w:noProof/>
            </w:rPr>
            <w:drawing>
              <wp:inline distT="0" distB="0" distL="0" distR="0" wp14:anchorId="71B2F7AE" wp14:editId="79D4C665">
                <wp:extent cx="975360" cy="525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525780"/>
                        </a:xfrm>
                        <a:prstGeom prst="rect">
                          <a:avLst/>
                        </a:prstGeom>
                        <a:noFill/>
                      </pic:spPr>
                    </pic:pic>
                  </a:graphicData>
                </a:graphic>
              </wp:inline>
            </w:drawing>
          </w:r>
        </w:p>
      </w:tc>
    </w:tr>
    <w:tr w:rsidR="00A872FE" w14:paraId="0CB1959B" w14:textId="77777777" w:rsidTr="006D639F">
      <w:trPr>
        <w:trHeight w:val="299"/>
      </w:trPr>
      <w:tc>
        <w:tcPr>
          <w:tcW w:w="1116" w:type="dxa"/>
          <w:vMerge/>
          <w:vAlign w:val="center"/>
        </w:tcPr>
        <w:p w14:paraId="46C2CA59" w14:textId="77777777" w:rsidR="00A872FE" w:rsidRDefault="00A872FE" w:rsidP="00A872FE">
          <w:pPr>
            <w:pStyle w:val="Header"/>
            <w:jc w:val="center"/>
            <w:rPr>
              <w:noProof/>
            </w:rPr>
          </w:pPr>
        </w:p>
      </w:tc>
      <w:tc>
        <w:tcPr>
          <w:tcW w:w="7922" w:type="dxa"/>
          <w:tcBorders>
            <w:top w:val="single" w:sz="4" w:space="0" w:color="auto"/>
          </w:tcBorders>
        </w:tcPr>
        <w:p w14:paraId="39D98715" w14:textId="77777777" w:rsidR="00A872FE" w:rsidRDefault="00A872FE" w:rsidP="00A872FE">
          <w:pPr>
            <w:pStyle w:val="Header"/>
          </w:pPr>
        </w:p>
      </w:tc>
      <w:tc>
        <w:tcPr>
          <w:tcW w:w="1752" w:type="dxa"/>
          <w:vMerge/>
          <w:vAlign w:val="center"/>
        </w:tcPr>
        <w:p w14:paraId="692006CB" w14:textId="77777777" w:rsidR="00A872FE" w:rsidRDefault="00A872FE" w:rsidP="00A872FE">
          <w:pPr>
            <w:pStyle w:val="Header"/>
            <w:jc w:val="center"/>
            <w:rPr>
              <w:noProof/>
            </w:rPr>
          </w:pPr>
        </w:p>
      </w:tc>
    </w:tr>
  </w:tbl>
  <w:p w14:paraId="0EEDBC71" w14:textId="4E6C06AD" w:rsidR="002A543B" w:rsidRPr="00A872FE" w:rsidRDefault="002A543B" w:rsidP="00A872FE">
    <w:pPr>
      <w:pStyle w:val="Header"/>
      <w:rPr>
        <w:rFonts w:eastAsia="Arial Unicode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DD8868E"/>
    <w:lvl w:ilvl="0">
      <w:numFmt w:val="none"/>
      <w:lvlText w:val=""/>
      <w:lvlJc w:val="left"/>
    </w:lvl>
    <w:lvl w:ilvl="1">
      <w:numFmt w:val="none"/>
      <w:lvlText w:val=""/>
      <w:lvlJc w:val="left"/>
    </w:lvl>
    <w:lvl w:ilvl="2">
      <w:start w:val="1"/>
      <w:numFmt w:val="none"/>
      <w:pStyle w:val="Heading3"/>
      <w:lvlText w:val=""/>
      <w:legacy w:legacy="1" w:legacySpace="0" w:legacyIndent="0"/>
      <w:lvlJc w:val="left"/>
      <w:pPr>
        <w:ind w:left="0" w:firstLine="0"/>
      </w:pPr>
    </w:lvl>
    <w:lvl w:ilvl="3">
      <w:start w:val="1"/>
      <w:numFmt w:val="none"/>
      <w:pStyle w:val="Heading4"/>
      <w:lvlText w:val=""/>
      <w:legacy w:legacy="1" w:legacySpace="0" w:legacyIndent="0"/>
      <w:lvlJc w:val="left"/>
      <w:pPr>
        <w:ind w:left="0" w:firstLine="0"/>
      </w:pPr>
    </w:lvl>
    <w:lvl w:ilvl="4">
      <w:start w:val="1"/>
      <w:numFmt w:val="none"/>
      <w:pStyle w:val="Heading5"/>
      <w:lvlText w:val=""/>
      <w:legacy w:legacy="1" w:legacySpace="0" w:legacyIndent="0"/>
      <w:lvlJc w:val="left"/>
      <w:pPr>
        <w:ind w:left="0" w:firstLine="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508C74E0"/>
    <w:lvl w:ilvl="0">
      <w:numFmt w:val="bullet"/>
      <w:lvlText w:val="*"/>
      <w:lvlJc w:val="left"/>
    </w:lvl>
  </w:abstractNum>
  <w:abstractNum w:abstractNumId="2" w15:restartNumberingAfterBreak="0">
    <w:nsid w:val="00A321F7"/>
    <w:multiLevelType w:val="hybridMultilevel"/>
    <w:tmpl w:val="6D7A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3744B"/>
    <w:multiLevelType w:val="hybridMultilevel"/>
    <w:tmpl w:val="8040A6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A31DA"/>
    <w:multiLevelType w:val="hybridMultilevel"/>
    <w:tmpl w:val="908E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D5B81"/>
    <w:multiLevelType w:val="hybridMultilevel"/>
    <w:tmpl w:val="559253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9A6"/>
    <w:multiLevelType w:val="hybridMultilevel"/>
    <w:tmpl w:val="26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B25A7"/>
    <w:multiLevelType w:val="hybridMultilevel"/>
    <w:tmpl w:val="4A16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C562E"/>
    <w:multiLevelType w:val="singleLevel"/>
    <w:tmpl w:val="F40ABCAA"/>
    <w:lvl w:ilvl="0">
      <w:start w:val="1"/>
      <w:numFmt w:val="decimal"/>
      <w:lvlText w:val="%1."/>
      <w:legacy w:legacy="1" w:legacySpace="0" w:legacyIndent="0"/>
      <w:lvlJc w:val="left"/>
    </w:lvl>
  </w:abstractNum>
  <w:abstractNum w:abstractNumId="9" w15:restartNumberingAfterBreak="0">
    <w:nsid w:val="34596FBB"/>
    <w:multiLevelType w:val="hybridMultilevel"/>
    <w:tmpl w:val="4770E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33C9F"/>
    <w:multiLevelType w:val="multilevel"/>
    <w:tmpl w:val="DF4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16E85"/>
    <w:multiLevelType w:val="hybridMultilevel"/>
    <w:tmpl w:val="BB6E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5540A"/>
    <w:multiLevelType w:val="hybridMultilevel"/>
    <w:tmpl w:val="82B01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6366F"/>
    <w:multiLevelType w:val="hybridMultilevel"/>
    <w:tmpl w:val="0D72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665BF"/>
    <w:multiLevelType w:val="hybridMultilevel"/>
    <w:tmpl w:val="4684A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595407"/>
    <w:multiLevelType w:val="hybridMultilevel"/>
    <w:tmpl w:val="9B907CD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63086"/>
    <w:multiLevelType w:val="hybridMultilevel"/>
    <w:tmpl w:val="D8F4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05418"/>
    <w:multiLevelType w:val="hybridMultilevel"/>
    <w:tmpl w:val="B67A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0"/>
  </w:num>
  <w:num w:numId="6">
    <w:abstractNumId w:val="7"/>
  </w:num>
  <w:num w:numId="7">
    <w:abstractNumId w:val="11"/>
  </w:num>
  <w:num w:numId="8">
    <w:abstractNumId w:val="16"/>
  </w:num>
  <w:num w:numId="9">
    <w:abstractNumId w:val="4"/>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3"/>
  </w:num>
  <w:num w:numId="12">
    <w:abstractNumId w:val="15"/>
  </w:num>
  <w:num w:numId="13">
    <w:abstractNumId w:val="12"/>
  </w:num>
  <w:num w:numId="14">
    <w:abstractNumId w:val="5"/>
  </w:num>
  <w:num w:numId="15">
    <w:abstractNumId w:val="3"/>
  </w:num>
  <w:num w:numId="16">
    <w:abstractNumId w:val="2"/>
  </w:num>
  <w:num w:numId="17">
    <w:abstractNumId w:val="9"/>
  </w:num>
  <w:num w:numId="18">
    <w:abstractNumId w:val="17"/>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38913"/>
  </w:hdrShapeDefault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BF"/>
    <w:rsid w:val="0000250D"/>
    <w:rsid w:val="00007520"/>
    <w:rsid w:val="00033519"/>
    <w:rsid w:val="00042299"/>
    <w:rsid w:val="000632F9"/>
    <w:rsid w:val="00076D46"/>
    <w:rsid w:val="000D2F84"/>
    <w:rsid w:val="000D52CB"/>
    <w:rsid w:val="000E0C61"/>
    <w:rsid w:val="000E6A79"/>
    <w:rsid w:val="000F2A6C"/>
    <w:rsid w:val="000F3101"/>
    <w:rsid w:val="0012323F"/>
    <w:rsid w:val="00146A95"/>
    <w:rsid w:val="00147FCA"/>
    <w:rsid w:val="00157F76"/>
    <w:rsid w:val="001779A6"/>
    <w:rsid w:val="001F17AA"/>
    <w:rsid w:val="001F4DFD"/>
    <w:rsid w:val="002175CE"/>
    <w:rsid w:val="002538A8"/>
    <w:rsid w:val="002572A7"/>
    <w:rsid w:val="00290114"/>
    <w:rsid w:val="002A543B"/>
    <w:rsid w:val="002B1152"/>
    <w:rsid w:val="002D1AA0"/>
    <w:rsid w:val="002D4A7D"/>
    <w:rsid w:val="002F15B2"/>
    <w:rsid w:val="002F2513"/>
    <w:rsid w:val="002F36FA"/>
    <w:rsid w:val="002F46B3"/>
    <w:rsid w:val="002F5D11"/>
    <w:rsid w:val="00313646"/>
    <w:rsid w:val="0033362C"/>
    <w:rsid w:val="00342256"/>
    <w:rsid w:val="00365BF4"/>
    <w:rsid w:val="003771CE"/>
    <w:rsid w:val="003B2F81"/>
    <w:rsid w:val="003C6E1B"/>
    <w:rsid w:val="003E5AFA"/>
    <w:rsid w:val="003E6C52"/>
    <w:rsid w:val="003F0769"/>
    <w:rsid w:val="003F498A"/>
    <w:rsid w:val="003F62D6"/>
    <w:rsid w:val="00412E8B"/>
    <w:rsid w:val="00413018"/>
    <w:rsid w:val="00430080"/>
    <w:rsid w:val="00453DAF"/>
    <w:rsid w:val="0046463C"/>
    <w:rsid w:val="00467A2E"/>
    <w:rsid w:val="00467FC8"/>
    <w:rsid w:val="00482B80"/>
    <w:rsid w:val="004867D2"/>
    <w:rsid w:val="004A118E"/>
    <w:rsid w:val="004A2F7C"/>
    <w:rsid w:val="004B45A4"/>
    <w:rsid w:val="004F3794"/>
    <w:rsid w:val="004F626A"/>
    <w:rsid w:val="00501B9E"/>
    <w:rsid w:val="00515D1F"/>
    <w:rsid w:val="00523869"/>
    <w:rsid w:val="00540AA1"/>
    <w:rsid w:val="005473BF"/>
    <w:rsid w:val="005507BF"/>
    <w:rsid w:val="00584C88"/>
    <w:rsid w:val="00594C24"/>
    <w:rsid w:val="005A0C14"/>
    <w:rsid w:val="005A577A"/>
    <w:rsid w:val="005A5AF6"/>
    <w:rsid w:val="005B52EB"/>
    <w:rsid w:val="005D23A8"/>
    <w:rsid w:val="005D6116"/>
    <w:rsid w:val="005D661D"/>
    <w:rsid w:val="005E2EFD"/>
    <w:rsid w:val="006053F7"/>
    <w:rsid w:val="006157E6"/>
    <w:rsid w:val="00616EC2"/>
    <w:rsid w:val="00630CC7"/>
    <w:rsid w:val="0065118C"/>
    <w:rsid w:val="00663C33"/>
    <w:rsid w:val="00675F17"/>
    <w:rsid w:val="00693A3B"/>
    <w:rsid w:val="006A3595"/>
    <w:rsid w:val="006A4CE9"/>
    <w:rsid w:val="006B0F38"/>
    <w:rsid w:val="006C4819"/>
    <w:rsid w:val="006C4BB6"/>
    <w:rsid w:val="006D0C65"/>
    <w:rsid w:val="006E10AF"/>
    <w:rsid w:val="00721955"/>
    <w:rsid w:val="00731CAA"/>
    <w:rsid w:val="00757AF7"/>
    <w:rsid w:val="0076585D"/>
    <w:rsid w:val="00773BAC"/>
    <w:rsid w:val="00784F58"/>
    <w:rsid w:val="007C5781"/>
    <w:rsid w:val="007D5EF9"/>
    <w:rsid w:val="007E03FB"/>
    <w:rsid w:val="007E0CB0"/>
    <w:rsid w:val="007E270A"/>
    <w:rsid w:val="007E3BD4"/>
    <w:rsid w:val="00802AAB"/>
    <w:rsid w:val="008164B0"/>
    <w:rsid w:val="00877195"/>
    <w:rsid w:val="00890D38"/>
    <w:rsid w:val="00895744"/>
    <w:rsid w:val="008C3543"/>
    <w:rsid w:val="008F1F6A"/>
    <w:rsid w:val="009170EF"/>
    <w:rsid w:val="009219D4"/>
    <w:rsid w:val="00926176"/>
    <w:rsid w:val="00975464"/>
    <w:rsid w:val="00996B9B"/>
    <w:rsid w:val="009B03F0"/>
    <w:rsid w:val="009B37DD"/>
    <w:rsid w:val="009B42F4"/>
    <w:rsid w:val="009B4776"/>
    <w:rsid w:val="009C62D7"/>
    <w:rsid w:val="009C6AB5"/>
    <w:rsid w:val="009C6C7B"/>
    <w:rsid w:val="009E114C"/>
    <w:rsid w:val="009F1701"/>
    <w:rsid w:val="00A30830"/>
    <w:rsid w:val="00A33422"/>
    <w:rsid w:val="00A35C1D"/>
    <w:rsid w:val="00A54DD1"/>
    <w:rsid w:val="00A872FE"/>
    <w:rsid w:val="00AA6CFD"/>
    <w:rsid w:val="00AF0B3B"/>
    <w:rsid w:val="00AF38DD"/>
    <w:rsid w:val="00B22DF7"/>
    <w:rsid w:val="00B302E1"/>
    <w:rsid w:val="00B41EE7"/>
    <w:rsid w:val="00B44AB4"/>
    <w:rsid w:val="00B917B3"/>
    <w:rsid w:val="00BC1028"/>
    <w:rsid w:val="00BE20A1"/>
    <w:rsid w:val="00BE67BD"/>
    <w:rsid w:val="00BF4047"/>
    <w:rsid w:val="00C0104E"/>
    <w:rsid w:val="00C0436A"/>
    <w:rsid w:val="00C22440"/>
    <w:rsid w:val="00C26E1F"/>
    <w:rsid w:val="00C35D6F"/>
    <w:rsid w:val="00C62FC6"/>
    <w:rsid w:val="00C7053A"/>
    <w:rsid w:val="00C92714"/>
    <w:rsid w:val="00CA233F"/>
    <w:rsid w:val="00CB4B08"/>
    <w:rsid w:val="00CB5919"/>
    <w:rsid w:val="00CD2F82"/>
    <w:rsid w:val="00CD73DF"/>
    <w:rsid w:val="00CE7A4C"/>
    <w:rsid w:val="00D04127"/>
    <w:rsid w:val="00D06593"/>
    <w:rsid w:val="00D30C9D"/>
    <w:rsid w:val="00D510B7"/>
    <w:rsid w:val="00D61A42"/>
    <w:rsid w:val="00D72D72"/>
    <w:rsid w:val="00D7350E"/>
    <w:rsid w:val="00DA13E7"/>
    <w:rsid w:val="00DA69A5"/>
    <w:rsid w:val="00DB091D"/>
    <w:rsid w:val="00DD1DB1"/>
    <w:rsid w:val="00DD782E"/>
    <w:rsid w:val="00DE26F5"/>
    <w:rsid w:val="00DF0FD2"/>
    <w:rsid w:val="00E11977"/>
    <w:rsid w:val="00E31944"/>
    <w:rsid w:val="00E32E5B"/>
    <w:rsid w:val="00E3663B"/>
    <w:rsid w:val="00E5042D"/>
    <w:rsid w:val="00E52A04"/>
    <w:rsid w:val="00E62867"/>
    <w:rsid w:val="00E630D6"/>
    <w:rsid w:val="00E7334D"/>
    <w:rsid w:val="00E80616"/>
    <w:rsid w:val="00E94B8F"/>
    <w:rsid w:val="00EA6EA1"/>
    <w:rsid w:val="00EC2FF3"/>
    <w:rsid w:val="00ED0904"/>
    <w:rsid w:val="00EE6E1D"/>
    <w:rsid w:val="00EF0B63"/>
    <w:rsid w:val="00EF3F4C"/>
    <w:rsid w:val="00EF52DC"/>
    <w:rsid w:val="00EF5DA8"/>
    <w:rsid w:val="00EF6780"/>
    <w:rsid w:val="00EF77B2"/>
    <w:rsid w:val="00F02A05"/>
    <w:rsid w:val="00F115CB"/>
    <w:rsid w:val="00F21DC1"/>
    <w:rsid w:val="00F43D18"/>
    <w:rsid w:val="00F56FFA"/>
    <w:rsid w:val="00F73E0F"/>
    <w:rsid w:val="00F850DA"/>
    <w:rsid w:val="00FA78B3"/>
    <w:rsid w:val="00FA79EF"/>
    <w:rsid w:val="00FB66E8"/>
    <w:rsid w:val="00FC1B53"/>
    <w:rsid w:val="00FF46FA"/>
    <w:rsid w:val="00FF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BA04A95"/>
  <w15:docId w15:val="{5C6FB463-1DDB-4ACE-BC73-23C96BEF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overflowPunct w:val="0"/>
      <w:autoSpaceDE w:val="0"/>
      <w:autoSpaceDN w:val="0"/>
      <w:adjustRightInd w:val="0"/>
      <w:textAlignment w:val="baseline"/>
    </w:pPr>
    <w:rPr>
      <w:kern w:val="1"/>
      <w:sz w:val="24"/>
    </w:rPr>
  </w:style>
  <w:style w:type="paragraph" w:styleId="Heading1">
    <w:name w:val="heading 1"/>
    <w:basedOn w:val="Normal"/>
    <w:next w:val="BodyText"/>
    <w:link w:val="Heading1Char"/>
    <w:uiPriority w:val="9"/>
    <w:qFormat/>
    <w:pPr>
      <w:keepNext/>
      <w:outlineLvl w:val="0"/>
    </w:pPr>
    <w:rPr>
      <w:b/>
    </w:rPr>
  </w:style>
  <w:style w:type="paragraph" w:styleId="Heading3">
    <w:name w:val="heading 3"/>
    <w:basedOn w:val="Normal"/>
    <w:next w:val="BodyText"/>
    <w:qFormat/>
    <w:pPr>
      <w:keepNext/>
      <w:widowControl w:val="0"/>
      <w:numPr>
        <w:ilvl w:val="2"/>
        <w:numId w:val="1"/>
      </w:numPr>
      <w:spacing w:before="240" w:after="60"/>
      <w:outlineLvl w:val="2"/>
    </w:pPr>
    <w:rPr>
      <w:rFonts w:ascii="Arial" w:hAnsi="Arial"/>
      <w:b/>
      <w:sz w:val="26"/>
    </w:rPr>
  </w:style>
  <w:style w:type="paragraph" w:styleId="Heading4">
    <w:name w:val="heading 4"/>
    <w:basedOn w:val="Normal"/>
    <w:next w:val="BodyText"/>
    <w:qFormat/>
    <w:pPr>
      <w:keepNext/>
      <w:widowControl w:val="0"/>
      <w:numPr>
        <w:ilvl w:val="3"/>
        <w:numId w:val="1"/>
      </w:numPr>
      <w:spacing w:before="240" w:after="60"/>
      <w:outlineLvl w:val="3"/>
    </w:pPr>
    <w:rPr>
      <w:b/>
      <w:sz w:val="28"/>
    </w:rPr>
  </w:style>
  <w:style w:type="paragraph" w:styleId="Heading5">
    <w:name w:val="heading 5"/>
    <w:basedOn w:val="Normal"/>
    <w:next w:val="BodyText"/>
    <w:qFormat/>
    <w:pPr>
      <w:keepNext/>
      <w:widowControl w:val="0"/>
      <w:numPr>
        <w:ilvl w:val="4"/>
        <w:numId w:val="1"/>
      </w:numPr>
      <w:outlineLvl w:val="4"/>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noProof w:val="0"/>
      <w:color w:val="0000FF"/>
      <w:u w:val="single"/>
    </w:rPr>
  </w:style>
  <w:style w:type="character" w:customStyle="1" w:styleId="PageNumber1">
    <w:name w:val="Page Number1"/>
  </w:style>
  <w:style w:type="character" w:customStyle="1" w:styleId="BalloonTextChar">
    <w:name w:val="Balloon Text Char"/>
    <w:rPr>
      <w:rFonts w:ascii="Tahoma" w:hAnsi="Tahoma"/>
      <w:sz w:val="16"/>
    </w:rPr>
  </w:style>
  <w:style w:type="character" w:styleId="Emphasis">
    <w:name w:val="Emphasis"/>
    <w:uiPriority w:val="20"/>
    <w:qFormat/>
    <w:rPr>
      <w:i/>
    </w:rPr>
  </w:style>
  <w:style w:type="character" w:customStyle="1" w:styleId="ListLabel1">
    <w:name w:val="ListLabel 1"/>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Closing">
    <w:name w:val="Closing"/>
    <w:basedOn w:val="Normal"/>
    <w:pPr>
      <w:ind w:left="4320"/>
    </w:pPr>
  </w:style>
  <w:style w:type="paragraph" w:styleId="Signature">
    <w:name w:val="Signature"/>
    <w:basedOn w:val="Normal"/>
    <w:semiHidden/>
    <w:pPr>
      <w:suppressLineNumbers/>
      <w:ind w:left="4320"/>
    </w:pPr>
  </w:style>
  <w:style w:type="paragraph" w:styleId="Header">
    <w:name w:val="header"/>
    <w:basedOn w:val="Normal"/>
    <w:link w:val="HeaderChar"/>
    <w:uiPriority w:val="99"/>
    <w:pPr>
      <w:suppressLineNumbers/>
      <w:tabs>
        <w:tab w:val="center" w:pos="4320"/>
        <w:tab w:val="right" w:pos="8640"/>
      </w:tabs>
    </w:pPr>
  </w:style>
  <w:style w:type="paragraph" w:styleId="BodyTextIndent">
    <w:name w:val="Body Text Indent"/>
    <w:basedOn w:val="Normal"/>
    <w:semiHidden/>
    <w:pPr>
      <w:ind w:left="1440"/>
      <w:jc w:val="both"/>
    </w:pPr>
  </w:style>
  <w:style w:type="paragraph" w:styleId="Footer">
    <w:name w:val="footer"/>
    <w:basedOn w:val="Normal"/>
    <w:semiHidden/>
    <w:pPr>
      <w:suppressLineNumbers/>
      <w:tabs>
        <w:tab w:val="center" w:pos="4320"/>
        <w:tab w:val="right" w:pos="8640"/>
      </w:tabs>
    </w:pPr>
  </w:style>
  <w:style w:type="paragraph" w:styleId="BodyTextIndent2">
    <w:name w:val="Body Text Indent 2"/>
    <w:basedOn w:val="Normal"/>
    <w:pPr>
      <w:ind w:left="1440"/>
    </w:pPr>
  </w:style>
  <w:style w:type="paragraph" w:styleId="NormalWeb">
    <w:name w:val="Normal (Web)"/>
    <w:basedOn w:val="Normal"/>
    <w:pPr>
      <w:spacing w:before="28" w:after="28"/>
    </w:pPr>
    <w:rPr>
      <w:color w:val="000000"/>
    </w:rPr>
  </w:style>
  <w:style w:type="paragraph" w:styleId="BalloonText">
    <w:name w:val="Balloon Text"/>
    <w:basedOn w:val="Normal"/>
    <w:rPr>
      <w:rFonts w:ascii="Tahoma" w:hAnsi="Tahoma"/>
      <w:sz w:val="16"/>
    </w:rPr>
  </w:style>
  <w:style w:type="paragraph" w:customStyle="1" w:styleId="Style1">
    <w:name w:val="Style 1"/>
    <w:basedOn w:val="Normal"/>
    <w:pPr>
      <w:widowControl w:val="0"/>
      <w:ind w:left="720"/>
    </w:pPr>
  </w:style>
  <w:style w:type="character" w:customStyle="1" w:styleId="a-size-large">
    <w:name w:val="a-size-large"/>
    <w:rsid w:val="000D2F84"/>
  </w:style>
  <w:style w:type="character" w:customStyle="1" w:styleId="apple-converted-space">
    <w:name w:val="apple-converted-space"/>
    <w:rsid w:val="000D2F84"/>
  </w:style>
  <w:style w:type="character" w:customStyle="1" w:styleId="a-declarative">
    <w:name w:val="a-declarative"/>
    <w:rsid w:val="000D2F84"/>
  </w:style>
  <w:style w:type="character" w:customStyle="1" w:styleId="Heading1Char">
    <w:name w:val="Heading 1 Char"/>
    <w:link w:val="Heading1"/>
    <w:uiPriority w:val="9"/>
    <w:rsid w:val="009B4776"/>
    <w:rPr>
      <w:b/>
      <w:kern w:val="1"/>
      <w:sz w:val="24"/>
    </w:rPr>
  </w:style>
  <w:style w:type="paragraph" w:styleId="Bibliography">
    <w:name w:val="Bibliography"/>
    <w:basedOn w:val="Normal"/>
    <w:next w:val="Normal"/>
    <w:uiPriority w:val="37"/>
    <w:unhideWhenUsed/>
    <w:rsid w:val="009B4776"/>
  </w:style>
  <w:style w:type="table" w:styleId="TableGrid">
    <w:name w:val="Table Grid"/>
    <w:basedOn w:val="TableNormal"/>
    <w:uiPriority w:val="39"/>
    <w:rsid w:val="00721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D06593"/>
    <w:pPr>
      <w:ind w:left="720"/>
      <w:contextualSpacing/>
    </w:pPr>
  </w:style>
  <w:style w:type="character" w:customStyle="1" w:styleId="HeaderChar">
    <w:name w:val="Header Char"/>
    <w:basedOn w:val="DefaultParagraphFont"/>
    <w:link w:val="Header"/>
    <w:uiPriority w:val="99"/>
    <w:rsid w:val="00A872FE"/>
    <w:rPr>
      <w:kern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591">
      <w:bodyDiv w:val="1"/>
      <w:marLeft w:val="0"/>
      <w:marRight w:val="0"/>
      <w:marTop w:val="0"/>
      <w:marBottom w:val="0"/>
      <w:divBdr>
        <w:top w:val="none" w:sz="0" w:space="0" w:color="auto"/>
        <w:left w:val="none" w:sz="0" w:space="0" w:color="auto"/>
        <w:bottom w:val="none" w:sz="0" w:space="0" w:color="auto"/>
        <w:right w:val="none" w:sz="0" w:space="0" w:color="auto"/>
      </w:divBdr>
    </w:div>
    <w:div w:id="71120097">
      <w:bodyDiv w:val="1"/>
      <w:marLeft w:val="0"/>
      <w:marRight w:val="0"/>
      <w:marTop w:val="0"/>
      <w:marBottom w:val="0"/>
      <w:divBdr>
        <w:top w:val="none" w:sz="0" w:space="0" w:color="auto"/>
        <w:left w:val="none" w:sz="0" w:space="0" w:color="auto"/>
        <w:bottom w:val="none" w:sz="0" w:space="0" w:color="auto"/>
        <w:right w:val="none" w:sz="0" w:space="0" w:color="auto"/>
      </w:divBdr>
    </w:div>
    <w:div w:id="112483101">
      <w:bodyDiv w:val="1"/>
      <w:marLeft w:val="0"/>
      <w:marRight w:val="0"/>
      <w:marTop w:val="0"/>
      <w:marBottom w:val="0"/>
      <w:divBdr>
        <w:top w:val="none" w:sz="0" w:space="0" w:color="auto"/>
        <w:left w:val="none" w:sz="0" w:space="0" w:color="auto"/>
        <w:bottom w:val="none" w:sz="0" w:space="0" w:color="auto"/>
        <w:right w:val="none" w:sz="0" w:space="0" w:color="auto"/>
      </w:divBdr>
    </w:div>
    <w:div w:id="235633542">
      <w:bodyDiv w:val="1"/>
      <w:marLeft w:val="0"/>
      <w:marRight w:val="0"/>
      <w:marTop w:val="0"/>
      <w:marBottom w:val="0"/>
      <w:divBdr>
        <w:top w:val="none" w:sz="0" w:space="0" w:color="auto"/>
        <w:left w:val="none" w:sz="0" w:space="0" w:color="auto"/>
        <w:bottom w:val="none" w:sz="0" w:space="0" w:color="auto"/>
        <w:right w:val="none" w:sz="0" w:space="0" w:color="auto"/>
      </w:divBdr>
    </w:div>
    <w:div w:id="457263554">
      <w:bodyDiv w:val="1"/>
      <w:marLeft w:val="0"/>
      <w:marRight w:val="0"/>
      <w:marTop w:val="0"/>
      <w:marBottom w:val="0"/>
      <w:divBdr>
        <w:top w:val="none" w:sz="0" w:space="0" w:color="auto"/>
        <w:left w:val="none" w:sz="0" w:space="0" w:color="auto"/>
        <w:bottom w:val="none" w:sz="0" w:space="0" w:color="auto"/>
        <w:right w:val="none" w:sz="0" w:space="0" w:color="auto"/>
      </w:divBdr>
    </w:div>
    <w:div w:id="626938259">
      <w:bodyDiv w:val="1"/>
      <w:marLeft w:val="0"/>
      <w:marRight w:val="0"/>
      <w:marTop w:val="0"/>
      <w:marBottom w:val="0"/>
      <w:divBdr>
        <w:top w:val="none" w:sz="0" w:space="0" w:color="auto"/>
        <w:left w:val="none" w:sz="0" w:space="0" w:color="auto"/>
        <w:bottom w:val="none" w:sz="0" w:space="0" w:color="auto"/>
        <w:right w:val="none" w:sz="0" w:space="0" w:color="auto"/>
      </w:divBdr>
    </w:div>
    <w:div w:id="688216021">
      <w:bodyDiv w:val="1"/>
      <w:marLeft w:val="0"/>
      <w:marRight w:val="0"/>
      <w:marTop w:val="0"/>
      <w:marBottom w:val="0"/>
      <w:divBdr>
        <w:top w:val="none" w:sz="0" w:space="0" w:color="auto"/>
        <w:left w:val="none" w:sz="0" w:space="0" w:color="auto"/>
        <w:bottom w:val="none" w:sz="0" w:space="0" w:color="auto"/>
        <w:right w:val="none" w:sz="0" w:space="0" w:color="auto"/>
      </w:divBdr>
    </w:div>
    <w:div w:id="881211414">
      <w:bodyDiv w:val="1"/>
      <w:marLeft w:val="0"/>
      <w:marRight w:val="0"/>
      <w:marTop w:val="0"/>
      <w:marBottom w:val="0"/>
      <w:divBdr>
        <w:top w:val="none" w:sz="0" w:space="0" w:color="auto"/>
        <w:left w:val="none" w:sz="0" w:space="0" w:color="auto"/>
        <w:bottom w:val="none" w:sz="0" w:space="0" w:color="auto"/>
        <w:right w:val="none" w:sz="0" w:space="0" w:color="auto"/>
      </w:divBdr>
    </w:div>
    <w:div w:id="969434612">
      <w:bodyDiv w:val="1"/>
      <w:marLeft w:val="0"/>
      <w:marRight w:val="0"/>
      <w:marTop w:val="0"/>
      <w:marBottom w:val="0"/>
      <w:divBdr>
        <w:top w:val="none" w:sz="0" w:space="0" w:color="auto"/>
        <w:left w:val="none" w:sz="0" w:space="0" w:color="auto"/>
        <w:bottom w:val="none" w:sz="0" w:space="0" w:color="auto"/>
        <w:right w:val="none" w:sz="0" w:space="0" w:color="auto"/>
      </w:divBdr>
    </w:div>
    <w:div w:id="1005209239">
      <w:bodyDiv w:val="1"/>
      <w:marLeft w:val="0"/>
      <w:marRight w:val="0"/>
      <w:marTop w:val="0"/>
      <w:marBottom w:val="0"/>
      <w:divBdr>
        <w:top w:val="none" w:sz="0" w:space="0" w:color="auto"/>
        <w:left w:val="none" w:sz="0" w:space="0" w:color="auto"/>
        <w:bottom w:val="none" w:sz="0" w:space="0" w:color="auto"/>
        <w:right w:val="none" w:sz="0" w:space="0" w:color="auto"/>
      </w:divBdr>
      <w:divsChild>
        <w:div w:id="1551646816">
          <w:marLeft w:val="720"/>
          <w:marRight w:val="0"/>
          <w:marTop w:val="0"/>
          <w:marBottom w:val="283"/>
          <w:divBdr>
            <w:top w:val="none" w:sz="0" w:space="0" w:color="auto"/>
            <w:left w:val="none" w:sz="0" w:space="0" w:color="auto"/>
            <w:bottom w:val="none" w:sz="0" w:space="0" w:color="auto"/>
            <w:right w:val="none" w:sz="0" w:space="0" w:color="auto"/>
          </w:divBdr>
        </w:div>
      </w:divsChild>
    </w:div>
    <w:div w:id="1011033645">
      <w:bodyDiv w:val="1"/>
      <w:marLeft w:val="0"/>
      <w:marRight w:val="0"/>
      <w:marTop w:val="0"/>
      <w:marBottom w:val="0"/>
      <w:divBdr>
        <w:top w:val="none" w:sz="0" w:space="0" w:color="auto"/>
        <w:left w:val="none" w:sz="0" w:space="0" w:color="auto"/>
        <w:bottom w:val="none" w:sz="0" w:space="0" w:color="auto"/>
        <w:right w:val="none" w:sz="0" w:space="0" w:color="auto"/>
      </w:divBdr>
    </w:div>
    <w:div w:id="1060445140">
      <w:bodyDiv w:val="1"/>
      <w:marLeft w:val="0"/>
      <w:marRight w:val="0"/>
      <w:marTop w:val="0"/>
      <w:marBottom w:val="0"/>
      <w:divBdr>
        <w:top w:val="none" w:sz="0" w:space="0" w:color="auto"/>
        <w:left w:val="none" w:sz="0" w:space="0" w:color="auto"/>
        <w:bottom w:val="none" w:sz="0" w:space="0" w:color="auto"/>
        <w:right w:val="none" w:sz="0" w:space="0" w:color="auto"/>
      </w:divBdr>
    </w:div>
    <w:div w:id="1163198853">
      <w:bodyDiv w:val="1"/>
      <w:marLeft w:val="0"/>
      <w:marRight w:val="0"/>
      <w:marTop w:val="0"/>
      <w:marBottom w:val="0"/>
      <w:divBdr>
        <w:top w:val="none" w:sz="0" w:space="0" w:color="auto"/>
        <w:left w:val="none" w:sz="0" w:space="0" w:color="auto"/>
        <w:bottom w:val="none" w:sz="0" w:space="0" w:color="auto"/>
        <w:right w:val="none" w:sz="0" w:space="0" w:color="auto"/>
      </w:divBdr>
    </w:div>
    <w:div w:id="1227494877">
      <w:bodyDiv w:val="1"/>
      <w:marLeft w:val="0"/>
      <w:marRight w:val="0"/>
      <w:marTop w:val="0"/>
      <w:marBottom w:val="0"/>
      <w:divBdr>
        <w:top w:val="none" w:sz="0" w:space="0" w:color="auto"/>
        <w:left w:val="none" w:sz="0" w:space="0" w:color="auto"/>
        <w:bottom w:val="none" w:sz="0" w:space="0" w:color="auto"/>
        <w:right w:val="none" w:sz="0" w:space="0" w:color="auto"/>
      </w:divBdr>
    </w:div>
    <w:div w:id="1315185469">
      <w:bodyDiv w:val="1"/>
      <w:marLeft w:val="0"/>
      <w:marRight w:val="0"/>
      <w:marTop w:val="0"/>
      <w:marBottom w:val="0"/>
      <w:divBdr>
        <w:top w:val="none" w:sz="0" w:space="0" w:color="auto"/>
        <w:left w:val="none" w:sz="0" w:space="0" w:color="auto"/>
        <w:bottom w:val="none" w:sz="0" w:space="0" w:color="auto"/>
        <w:right w:val="none" w:sz="0" w:space="0" w:color="auto"/>
      </w:divBdr>
    </w:div>
    <w:div w:id="1363482655">
      <w:bodyDiv w:val="1"/>
      <w:marLeft w:val="0"/>
      <w:marRight w:val="0"/>
      <w:marTop w:val="0"/>
      <w:marBottom w:val="0"/>
      <w:divBdr>
        <w:top w:val="none" w:sz="0" w:space="0" w:color="auto"/>
        <w:left w:val="none" w:sz="0" w:space="0" w:color="auto"/>
        <w:bottom w:val="none" w:sz="0" w:space="0" w:color="auto"/>
        <w:right w:val="none" w:sz="0" w:space="0" w:color="auto"/>
      </w:divBdr>
    </w:div>
    <w:div w:id="1419518173">
      <w:bodyDiv w:val="1"/>
      <w:marLeft w:val="0"/>
      <w:marRight w:val="0"/>
      <w:marTop w:val="0"/>
      <w:marBottom w:val="0"/>
      <w:divBdr>
        <w:top w:val="none" w:sz="0" w:space="0" w:color="auto"/>
        <w:left w:val="none" w:sz="0" w:space="0" w:color="auto"/>
        <w:bottom w:val="none" w:sz="0" w:space="0" w:color="auto"/>
        <w:right w:val="none" w:sz="0" w:space="0" w:color="auto"/>
      </w:divBdr>
    </w:div>
    <w:div w:id="1469277615">
      <w:bodyDiv w:val="1"/>
      <w:marLeft w:val="0"/>
      <w:marRight w:val="0"/>
      <w:marTop w:val="0"/>
      <w:marBottom w:val="0"/>
      <w:divBdr>
        <w:top w:val="none" w:sz="0" w:space="0" w:color="auto"/>
        <w:left w:val="none" w:sz="0" w:space="0" w:color="auto"/>
        <w:bottom w:val="none" w:sz="0" w:space="0" w:color="auto"/>
        <w:right w:val="none" w:sz="0" w:space="0" w:color="auto"/>
      </w:divBdr>
    </w:div>
    <w:div w:id="1810785136">
      <w:bodyDiv w:val="1"/>
      <w:marLeft w:val="0"/>
      <w:marRight w:val="0"/>
      <w:marTop w:val="0"/>
      <w:marBottom w:val="0"/>
      <w:divBdr>
        <w:top w:val="none" w:sz="0" w:space="0" w:color="auto"/>
        <w:left w:val="none" w:sz="0" w:space="0" w:color="auto"/>
        <w:bottom w:val="none" w:sz="0" w:space="0" w:color="auto"/>
        <w:right w:val="none" w:sz="0" w:space="0" w:color="auto"/>
      </w:divBdr>
    </w:div>
    <w:div w:id="1868564016">
      <w:bodyDiv w:val="1"/>
      <w:marLeft w:val="0"/>
      <w:marRight w:val="0"/>
      <w:marTop w:val="0"/>
      <w:marBottom w:val="0"/>
      <w:divBdr>
        <w:top w:val="none" w:sz="0" w:space="0" w:color="auto"/>
        <w:left w:val="none" w:sz="0" w:space="0" w:color="auto"/>
        <w:bottom w:val="none" w:sz="0" w:space="0" w:color="auto"/>
        <w:right w:val="none" w:sz="0" w:space="0" w:color="auto"/>
      </w:divBdr>
    </w:div>
    <w:div w:id="198858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wilson10@ok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Goe15</b:Tag>
    <b:SourceType>Book</b:SourceType>
    <b:Guid>{EEB1388E-D710-47C6-AFAB-57A2C75C097C}</b:Guid>
    <b:Title>Occupational Health and Safety Management Systems</b:Title>
    <b:Year>2015</b:Year>
    <b:City>Upper Saddle River</b:City>
    <b:Publisher>Pearson Education</b:Publisher>
    <b:Author>
      <b:Author>
        <b:NameList>
          <b:Person>
            <b:Last>Goetsch</b:Last>
            <b:Middle>L</b:Middle>
            <b:First>David</b:First>
          </b:Person>
        </b:NameList>
      </b:Author>
      <b:Editor>
        <b:NameList>
          <b:Person>
            <b:Last>Anthony</b:Last>
            <b:Middle>R</b:Middle>
            <b:First>Vernon</b:First>
          </b:Person>
        </b:NameList>
      </b:Editor>
    </b:Author>
    <b:StateProvince>New Jersey</b:StateProvince>
    <b:CountryRegion>USA</b:CountryRegion>
    <b:Edition>Eighth</b:Edition>
    <b:RefOrder>1</b:RefOrder>
  </b:Source>
  <b:Source>
    <b:Tag>Plo12</b:Tag>
    <b:SourceType>Book</b:SourceType>
    <b:Guid>{71E46F03-1C42-4846-9F10-1F77A1FF5588}</b:Guid>
    <b:Title>Fundamentals of Industrial Hygiene</b:Title>
    <b:Year>2012</b:Year>
    <b:City>Itasca</b:City>
    <b:Publisher>National Safety Council</b:Publisher>
    <b:Author>
      <b:Editor>
        <b:NameList>
          <b:Person>
            <b:Last>Plog</b:Last>
            <b:Middle>A</b:Middle>
            <b:First>Barbara</b:First>
          </b:Person>
          <b:Person>
            <b:Last>Quinlan</b:Last>
            <b:Middle>J</b:Middle>
            <b:First>Patricia</b:First>
          </b:Person>
        </b:NameList>
      </b:Editor>
    </b:Author>
    <b:StateProvince>IL</b:StateProvince>
    <b:CountryRegion>USA</b:CountryRegion>
    <b:Edition>Sixth</b:Edition>
    <b:RefOrder>2</b:RefOrder>
  </b:Source>
</b:Sources>
</file>

<file path=customXml/itemProps1.xml><?xml version="1.0" encoding="utf-8"?>
<ds:datastoreItem xmlns:ds="http://schemas.openxmlformats.org/officeDocument/2006/customXml" ds:itemID="{757D8B95-280E-4DEA-8391-5812ED2B6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3969</CharactersWithSpaces>
  <SharedDoc>false</SharedDoc>
  <HLinks>
    <vt:vector size="12" baseType="variant">
      <vt:variant>
        <vt:i4>3276902</vt:i4>
      </vt:variant>
      <vt:variant>
        <vt:i4>3</vt:i4>
      </vt:variant>
      <vt:variant>
        <vt:i4>0</vt:i4>
      </vt:variant>
      <vt:variant>
        <vt:i4>5</vt:i4>
      </vt:variant>
      <vt:variant>
        <vt:lpwstr>http://academicaffairs.okstate.edu/images/Patty/FacultyandStaffResources/Syllabus/spring 2015 syllabus.pdf</vt:lpwstr>
      </vt:variant>
      <vt:variant>
        <vt:lpwstr/>
      </vt:variant>
      <vt:variant>
        <vt:i4>4521986</vt:i4>
      </vt:variant>
      <vt:variant>
        <vt:i4>0</vt:i4>
      </vt:variant>
      <vt:variant>
        <vt:i4>0</vt:i4>
      </vt:variant>
      <vt:variant>
        <vt:i4>5</vt:i4>
      </vt:variant>
      <vt:variant>
        <vt:lpwstr>http://academicintegrity.okstate.edu/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PRIVATE</dc:creator>
  <cp:keywords/>
  <cp:lastModifiedBy>Wilson, Tim</cp:lastModifiedBy>
  <cp:revision>20</cp:revision>
  <cp:lastPrinted>2019-08-15T19:58:00Z</cp:lastPrinted>
  <dcterms:created xsi:type="dcterms:W3CDTF">2019-08-15T15:59:00Z</dcterms:created>
  <dcterms:modified xsi:type="dcterms:W3CDTF">2020-05-12T13:39:00Z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OSU FIRE PROTECTION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