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4754AB" w14:textId="57A15770" w:rsidR="00D52A14" w:rsidRDefault="00D52A14" w:rsidP="00D52A14">
      <w:pPr>
        <w:numPr>
          <w:ilvl w:val="0"/>
          <w:numId w:val="1"/>
        </w:numPr>
        <w:rPr>
          <w:rFonts w:cs="Calibri"/>
          <w:b/>
          <w:sz w:val="24"/>
          <w:szCs w:val="24"/>
        </w:rPr>
      </w:pPr>
      <w:r>
        <w:rPr>
          <w:rFonts w:cs="Calibri"/>
          <w:b/>
          <w:sz w:val="24"/>
          <w:szCs w:val="24"/>
        </w:rPr>
        <w:t>PSM Preamble Review</w:t>
      </w:r>
    </w:p>
    <w:p w14:paraId="3C276E5C" w14:textId="1A83ECFD" w:rsidR="00D52A14" w:rsidRDefault="00D52A14" w:rsidP="00D52A14">
      <w:pPr>
        <w:rPr>
          <w:rFonts w:cs="Calibri"/>
          <w:sz w:val="24"/>
          <w:szCs w:val="24"/>
        </w:rPr>
      </w:pPr>
      <w:r>
        <w:rPr>
          <w:rFonts w:cs="Calibri"/>
          <w:sz w:val="24"/>
          <w:szCs w:val="24"/>
        </w:rPr>
        <w:t>Review the Preamble to 29CFR 1910.119 Process Safety Management of Highly Hazardous Chemicals.</w:t>
      </w:r>
    </w:p>
    <w:p w14:paraId="68D5CC9B" w14:textId="56AD62D6" w:rsidR="00D52A14" w:rsidRDefault="00D52A14" w:rsidP="00D52A14">
      <w:pPr>
        <w:rPr>
          <w:rFonts w:cs="Calibri"/>
          <w:sz w:val="24"/>
          <w:szCs w:val="24"/>
        </w:rPr>
      </w:pPr>
      <w:r>
        <w:rPr>
          <w:rFonts w:cs="Calibri"/>
          <w:sz w:val="24"/>
          <w:szCs w:val="24"/>
        </w:rPr>
        <w:t xml:space="preserve">Create a word document and answer the following questions in </w:t>
      </w:r>
      <w:r>
        <w:rPr>
          <w:rFonts w:cs="Calibri"/>
          <w:sz w:val="24"/>
          <w:szCs w:val="24"/>
          <w:highlight w:val="yellow"/>
        </w:rPr>
        <w:t>discussion format</w:t>
      </w:r>
      <w:r>
        <w:rPr>
          <w:rFonts w:cs="Calibri"/>
          <w:sz w:val="24"/>
          <w:szCs w:val="24"/>
        </w:rPr>
        <w:t>:</w:t>
      </w:r>
    </w:p>
    <w:p w14:paraId="42DA67F7" w14:textId="78AC12DF" w:rsidR="00D52A14" w:rsidRDefault="00D52A14" w:rsidP="00F71C65">
      <w:pPr>
        <w:numPr>
          <w:ilvl w:val="0"/>
          <w:numId w:val="2"/>
        </w:numPr>
        <w:spacing w:line="200" w:lineRule="exact"/>
        <w:ind w:left="714" w:hanging="357"/>
        <w:rPr>
          <w:rFonts w:cs="Calibri"/>
          <w:sz w:val="24"/>
          <w:szCs w:val="24"/>
        </w:rPr>
      </w:pPr>
      <w:r>
        <w:rPr>
          <w:rFonts w:cs="Calibri"/>
          <w:sz w:val="24"/>
          <w:szCs w:val="24"/>
        </w:rPr>
        <w:t>Prior to the 1992 promulgation of 29 CFR 1910.119:</w:t>
      </w:r>
    </w:p>
    <w:p w14:paraId="54B59FF4" w14:textId="76735F47" w:rsidR="00D52A14" w:rsidRDefault="00D52A14" w:rsidP="00D52A14">
      <w:pPr>
        <w:numPr>
          <w:ilvl w:val="1"/>
          <w:numId w:val="2"/>
        </w:numPr>
        <w:rPr>
          <w:rFonts w:cs="Calibri"/>
          <w:sz w:val="24"/>
          <w:szCs w:val="24"/>
        </w:rPr>
      </w:pPr>
      <w:r>
        <w:rPr>
          <w:rFonts w:cs="Calibri"/>
          <w:sz w:val="24"/>
          <w:szCs w:val="24"/>
        </w:rPr>
        <w:t>What means did OSHA use to enforce safety standards in the chemical industry?</w:t>
      </w:r>
    </w:p>
    <w:p w14:paraId="431B2FFD" w14:textId="217631FB" w:rsidR="00D8260F" w:rsidRDefault="00D8260F" w:rsidP="00D8260F">
      <w:pPr>
        <w:ind w:left="1440"/>
        <w:rPr>
          <w:rFonts w:cs="Calibri"/>
          <w:sz w:val="24"/>
          <w:szCs w:val="24"/>
        </w:rPr>
      </w:pPr>
      <w:r w:rsidRPr="00D8260F">
        <w:rPr>
          <w:rFonts w:cs="Calibri"/>
          <w:sz w:val="24"/>
          <w:szCs w:val="24"/>
        </w:rPr>
        <w:t>OSHA's general industry standards</w:t>
      </w:r>
    </w:p>
    <w:p w14:paraId="2C2784FC" w14:textId="4E6823CE" w:rsidR="00D52A14" w:rsidRDefault="00D52A14" w:rsidP="00D52A14">
      <w:pPr>
        <w:numPr>
          <w:ilvl w:val="1"/>
          <w:numId w:val="2"/>
        </w:numPr>
        <w:rPr>
          <w:rFonts w:cs="Calibri"/>
          <w:sz w:val="24"/>
          <w:szCs w:val="24"/>
        </w:rPr>
      </w:pPr>
      <w:r>
        <w:rPr>
          <w:rFonts w:cs="Calibri"/>
          <w:sz w:val="24"/>
          <w:szCs w:val="24"/>
        </w:rPr>
        <w:t>What were the shortcomings of those standards in protecting workers from process safety disasters?</w:t>
      </w:r>
    </w:p>
    <w:p w14:paraId="42290030" w14:textId="77777777" w:rsidR="0061322E" w:rsidRDefault="0061322E" w:rsidP="0061322E">
      <w:pPr>
        <w:ind w:left="720" w:firstLine="720"/>
        <w:rPr>
          <w:rFonts w:cs="Calibri"/>
          <w:sz w:val="24"/>
          <w:szCs w:val="24"/>
        </w:rPr>
      </w:pPr>
      <w:r w:rsidRPr="0061322E">
        <w:rPr>
          <w:rFonts w:cs="Calibri"/>
          <w:sz w:val="24"/>
          <w:szCs w:val="24"/>
        </w:rPr>
        <w:t>At the moment, neither the protection of employees from significant releases of hazardous chemicals nor particular coverage for process hazards in the chemical sector is provided by these standards.</w:t>
      </w:r>
    </w:p>
    <w:p w14:paraId="171A62FA" w14:textId="67D3C492" w:rsidR="00D52A14" w:rsidRDefault="00D52A14" w:rsidP="00D52A14">
      <w:pPr>
        <w:numPr>
          <w:ilvl w:val="0"/>
          <w:numId w:val="2"/>
        </w:numPr>
        <w:rPr>
          <w:rFonts w:cs="Calibri"/>
          <w:sz w:val="24"/>
          <w:szCs w:val="24"/>
        </w:rPr>
      </w:pPr>
      <w:r>
        <w:rPr>
          <w:rFonts w:cs="Calibri"/>
          <w:sz w:val="24"/>
          <w:szCs w:val="24"/>
        </w:rPr>
        <w:t xml:space="preserve">What, if </w:t>
      </w:r>
      <w:r>
        <w:rPr>
          <w:rFonts w:cs="Calibri"/>
          <w:b/>
          <w:bCs/>
          <w:sz w:val="24"/>
          <w:szCs w:val="24"/>
        </w:rPr>
        <w:t>any organizations</w:t>
      </w:r>
      <w:r>
        <w:rPr>
          <w:rFonts w:cs="Calibri"/>
          <w:sz w:val="24"/>
          <w:szCs w:val="24"/>
        </w:rPr>
        <w:t xml:space="preserve"> were created to </w:t>
      </w:r>
      <w:r>
        <w:rPr>
          <w:rFonts w:cs="Calibri"/>
          <w:b/>
          <w:bCs/>
          <w:sz w:val="24"/>
          <w:szCs w:val="24"/>
        </w:rPr>
        <w:t>provide guidance</w:t>
      </w:r>
      <w:r>
        <w:rPr>
          <w:rFonts w:cs="Calibri"/>
          <w:sz w:val="24"/>
          <w:szCs w:val="24"/>
        </w:rPr>
        <w:t xml:space="preserve"> to the Chemical Industry on Process Safety Issues?  Discuss their purpose and mission?</w:t>
      </w:r>
    </w:p>
    <w:p w14:paraId="2E3A0B9F" w14:textId="015776F7" w:rsidR="0003479A" w:rsidRDefault="0061322E" w:rsidP="009F4F51">
      <w:pPr>
        <w:ind w:left="1440"/>
        <w:rPr>
          <w:rFonts w:cs="Calibri"/>
          <w:sz w:val="24"/>
          <w:szCs w:val="24"/>
        </w:rPr>
      </w:pPr>
      <w:r w:rsidRPr="0061322E">
        <w:rPr>
          <w:rFonts w:cs="Calibri"/>
          <w:sz w:val="24"/>
          <w:szCs w:val="24"/>
          <w:lang w:eastAsia="zh-CN"/>
        </w:rPr>
        <w:t>With the aid of a step-by-step tutorial or some instances of engineering methods, the</w:t>
      </w:r>
      <w:r>
        <w:rPr>
          <w:rFonts w:cs="Calibri" w:hint="eastAsia"/>
          <w:sz w:val="24"/>
          <w:szCs w:val="24"/>
          <w:lang w:eastAsia="zh-CN"/>
        </w:rPr>
        <w:t>ir</w:t>
      </w:r>
      <w:r>
        <w:rPr>
          <w:rFonts w:cs="Calibri"/>
          <w:sz w:val="24"/>
          <w:szCs w:val="24"/>
          <w:lang w:eastAsia="zh-CN"/>
        </w:rPr>
        <w:t xml:space="preserve"> purpose might be </w:t>
      </w:r>
      <w:r w:rsidR="00B23F2C">
        <w:rPr>
          <w:rFonts w:cs="Calibri"/>
          <w:sz w:val="24"/>
          <w:szCs w:val="24"/>
          <w:lang w:eastAsia="zh-CN"/>
        </w:rPr>
        <w:t>to emphasize</w:t>
      </w:r>
      <w:r w:rsidRPr="0061322E">
        <w:rPr>
          <w:rFonts w:cs="Calibri"/>
          <w:sz w:val="24"/>
          <w:szCs w:val="24"/>
          <w:lang w:eastAsia="zh-CN"/>
        </w:rPr>
        <w:t xml:space="preserve"> and </w:t>
      </w:r>
      <w:r w:rsidR="00B23F2C">
        <w:rPr>
          <w:rFonts w:cs="Calibri"/>
          <w:sz w:val="24"/>
          <w:szCs w:val="24"/>
          <w:lang w:eastAsia="zh-CN"/>
        </w:rPr>
        <w:t>clarify</w:t>
      </w:r>
      <w:r w:rsidRPr="0061322E">
        <w:rPr>
          <w:rFonts w:cs="Calibri"/>
          <w:sz w:val="24"/>
          <w:szCs w:val="24"/>
          <w:lang w:eastAsia="zh-CN"/>
        </w:rPr>
        <w:t xml:space="preserve"> the criteria for preventing or limiting the </w:t>
      </w:r>
      <w:r w:rsidR="00447B5B">
        <w:rPr>
          <w:rFonts w:cs="Calibri"/>
          <w:sz w:val="24"/>
          <w:szCs w:val="24"/>
          <w:lang w:eastAsia="zh-CN"/>
        </w:rPr>
        <w:t>results</w:t>
      </w:r>
      <w:r w:rsidRPr="0061322E">
        <w:rPr>
          <w:rFonts w:cs="Calibri"/>
          <w:sz w:val="24"/>
          <w:szCs w:val="24"/>
          <w:lang w:eastAsia="zh-CN"/>
        </w:rPr>
        <w:t xml:space="preserve"> of catastrophic releases of hazardous, reactive, flammable, or explosive compounds.</w:t>
      </w:r>
    </w:p>
    <w:p w14:paraId="3F475620" w14:textId="24B32108" w:rsidR="0003479A" w:rsidRDefault="0003479A" w:rsidP="009F4F51">
      <w:pPr>
        <w:ind w:left="1440"/>
        <w:rPr>
          <w:rFonts w:cs="Calibri"/>
          <w:sz w:val="24"/>
          <w:szCs w:val="24"/>
          <w:lang w:eastAsia="zh-CN"/>
        </w:rPr>
      </w:pPr>
      <w:r>
        <w:rPr>
          <w:rFonts w:cs="Calibri" w:hint="eastAsia"/>
          <w:sz w:val="24"/>
          <w:szCs w:val="24"/>
          <w:lang w:eastAsia="zh-CN"/>
        </w:rPr>
        <w:t>T</w:t>
      </w:r>
      <w:r>
        <w:rPr>
          <w:rFonts w:cs="Calibri"/>
          <w:sz w:val="24"/>
          <w:szCs w:val="24"/>
          <w:lang w:eastAsia="zh-CN"/>
        </w:rPr>
        <w:t>heir mission might be these listed as follows</w:t>
      </w:r>
    </w:p>
    <w:p w14:paraId="7681E5CE" w14:textId="77777777" w:rsidR="0061322E" w:rsidRDefault="0061322E" w:rsidP="0003479A">
      <w:pPr>
        <w:numPr>
          <w:ilvl w:val="2"/>
          <w:numId w:val="2"/>
        </w:numPr>
        <w:rPr>
          <w:rFonts w:cs="Calibri"/>
          <w:sz w:val="24"/>
          <w:szCs w:val="24"/>
          <w:lang w:eastAsia="zh-CN"/>
        </w:rPr>
      </w:pPr>
      <w:r w:rsidRPr="0061322E">
        <w:rPr>
          <w:rFonts w:cs="Calibri"/>
          <w:sz w:val="24"/>
          <w:szCs w:val="24"/>
          <w:lang w:eastAsia="zh-CN"/>
        </w:rPr>
        <w:t>Being a source of information for the chemical industry's understanding of process safety</w:t>
      </w:r>
    </w:p>
    <w:p w14:paraId="6067550C" w14:textId="53C3B2C2" w:rsidR="0061322E" w:rsidRDefault="0061322E" w:rsidP="0003479A">
      <w:pPr>
        <w:numPr>
          <w:ilvl w:val="2"/>
          <w:numId w:val="2"/>
        </w:numPr>
        <w:rPr>
          <w:rFonts w:cs="Calibri"/>
          <w:sz w:val="24"/>
          <w:szCs w:val="24"/>
          <w:lang w:eastAsia="zh-CN"/>
        </w:rPr>
      </w:pPr>
      <w:r w:rsidRPr="0061322E">
        <w:rPr>
          <w:rFonts w:cs="Calibri"/>
          <w:sz w:val="24"/>
          <w:szCs w:val="24"/>
          <w:lang w:eastAsia="zh-CN"/>
        </w:rPr>
        <w:t>Improving the management style, technical principles, and culture of process safety in the chemical industry</w:t>
      </w:r>
    </w:p>
    <w:p w14:paraId="2353C492" w14:textId="022F01DE" w:rsidR="00F972EB" w:rsidRDefault="00F972EB" w:rsidP="0003479A">
      <w:pPr>
        <w:numPr>
          <w:ilvl w:val="2"/>
          <w:numId w:val="2"/>
        </w:numPr>
        <w:rPr>
          <w:rFonts w:cs="Calibri"/>
          <w:sz w:val="24"/>
          <w:szCs w:val="24"/>
          <w:lang w:eastAsia="zh-CN"/>
        </w:rPr>
      </w:pPr>
      <w:r>
        <w:rPr>
          <w:rFonts w:cs="Calibri" w:hint="eastAsia"/>
          <w:sz w:val="24"/>
          <w:szCs w:val="24"/>
          <w:lang w:eastAsia="zh-CN"/>
        </w:rPr>
        <w:t>E</w:t>
      </w:r>
      <w:r>
        <w:rPr>
          <w:rFonts w:cs="Calibri"/>
          <w:sz w:val="24"/>
          <w:szCs w:val="24"/>
          <w:lang w:eastAsia="zh-CN"/>
        </w:rPr>
        <w:t>nhancing individual and organizational Chemical Process Safety competency</w:t>
      </w:r>
    </w:p>
    <w:p w14:paraId="037B8746" w14:textId="3FFD86DC" w:rsidR="00F972EB" w:rsidRDefault="00F972EB" w:rsidP="0003479A">
      <w:pPr>
        <w:numPr>
          <w:ilvl w:val="2"/>
          <w:numId w:val="2"/>
        </w:numPr>
        <w:rPr>
          <w:rFonts w:cs="Calibri"/>
          <w:sz w:val="24"/>
          <w:szCs w:val="24"/>
          <w:lang w:eastAsia="zh-CN"/>
        </w:rPr>
      </w:pPr>
      <w:r>
        <w:rPr>
          <w:rFonts w:cs="Calibri" w:hint="eastAsia"/>
          <w:sz w:val="24"/>
          <w:szCs w:val="24"/>
          <w:lang w:eastAsia="zh-CN"/>
        </w:rPr>
        <w:t>F</w:t>
      </w:r>
      <w:r>
        <w:rPr>
          <w:rFonts w:cs="Calibri"/>
          <w:sz w:val="24"/>
          <w:szCs w:val="24"/>
          <w:lang w:eastAsia="zh-CN"/>
        </w:rPr>
        <w:t xml:space="preserve">ostering collaboration within and across organizations, at all levels. </w:t>
      </w:r>
    </w:p>
    <w:p w14:paraId="7C2B8D52" w14:textId="566A31C7" w:rsidR="00F972EB" w:rsidRDefault="00F972EB" w:rsidP="0003479A">
      <w:pPr>
        <w:numPr>
          <w:ilvl w:val="2"/>
          <w:numId w:val="2"/>
        </w:numPr>
        <w:rPr>
          <w:rFonts w:cs="Calibri"/>
          <w:sz w:val="24"/>
          <w:szCs w:val="24"/>
          <w:lang w:eastAsia="zh-CN"/>
        </w:rPr>
      </w:pPr>
      <w:r>
        <w:rPr>
          <w:rFonts w:cs="Calibri" w:hint="eastAsia"/>
          <w:sz w:val="24"/>
          <w:szCs w:val="24"/>
          <w:lang w:eastAsia="zh-CN"/>
        </w:rPr>
        <w:t>P</w:t>
      </w:r>
      <w:r>
        <w:rPr>
          <w:rFonts w:cs="Calibri"/>
          <w:sz w:val="24"/>
          <w:szCs w:val="24"/>
          <w:lang w:eastAsia="zh-CN"/>
        </w:rPr>
        <w:t xml:space="preserve">romoting process safety as a key societal value and foundation for responsible, sustainable operation. </w:t>
      </w:r>
    </w:p>
    <w:p w14:paraId="60C4465A" w14:textId="2EAB75E6" w:rsidR="00D52A14" w:rsidRDefault="00D52A14" w:rsidP="00D52A14">
      <w:pPr>
        <w:numPr>
          <w:ilvl w:val="0"/>
          <w:numId w:val="2"/>
        </w:numPr>
        <w:rPr>
          <w:rFonts w:cs="Calibri"/>
          <w:sz w:val="24"/>
          <w:szCs w:val="24"/>
        </w:rPr>
      </w:pPr>
      <w:r>
        <w:rPr>
          <w:rFonts w:cs="Calibri"/>
          <w:sz w:val="24"/>
          <w:szCs w:val="24"/>
        </w:rPr>
        <w:lastRenderedPageBreak/>
        <w:t xml:space="preserve">Summarize comments made by at least one trade or business organization listed below who </w:t>
      </w:r>
      <w:r>
        <w:rPr>
          <w:rFonts w:cs="Calibri"/>
          <w:b/>
          <w:bCs/>
          <w:sz w:val="24"/>
          <w:szCs w:val="24"/>
        </w:rPr>
        <w:t>made public comment on the proposed Process Safety Management Standard</w:t>
      </w:r>
      <w:r>
        <w:rPr>
          <w:rFonts w:cs="Calibri"/>
          <w:sz w:val="24"/>
          <w:szCs w:val="24"/>
        </w:rPr>
        <w:t>.</w:t>
      </w:r>
    </w:p>
    <w:p w14:paraId="3AED70CA" w14:textId="53C23F5E" w:rsidR="00D52A14" w:rsidRDefault="00D52A14" w:rsidP="00D52A14">
      <w:pPr>
        <w:numPr>
          <w:ilvl w:val="1"/>
          <w:numId w:val="2"/>
        </w:numPr>
        <w:rPr>
          <w:rFonts w:cs="Calibri"/>
          <w:sz w:val="24"/>
          <w:szCs w:val="24"/>
        </w:rPr>
      </w:pPr>
      <w:r>
        <w:rPr>
          <w:rFonts w:cs="Calibri"/>
          <w:sz w:val="24"/>
          <w:szCs w:val="24"/>
        </w:rPr>
        <w:t>Labor Unions</w:t>
      </w:r>
    </w:p>
    <w:p w14:paraId="5E05EDCF" w14:textId="391F6B54" w:rsidR="00D52A14" w:rsidRDefault="00D52A14" w:rsidP="00D52A14">
      <w:pPr>
        <w:numPr>
          <w:ilvl w:val="1"/>
          <w:numId w:val="2"/>
        </w:numPr>
        <w:rPr>
          <w:rFonts w:cs="Calibri"/>
          <w:sz w:val="24"/>
          <w:szCs w:val="24"/>
        </w:rPr>
      </w:pPr>
      <w:r>
        <w:rPr>
          <w:rFonts w:cs="Calibri"/>
          <w:sz w:val="24"/>
          <w:szCs w:val="24"/>
        </w:rPr>
        <w:t>Individual Corporations</w:t>
      </w:r>
    </w:p>
    <w:p w14:paraId="05653F79" w14:textId="0DD9B9E7" w:rsidR="00D52A14" w:rsidRDefault="00D52A14" w:rsidP="00D52A14">
      <w:pPr>
        <w:numPr>
          <w:ilvl w:val="1"/>
          <w:numId w:val="2"/>
        </w:numPr>
        <w:rPr>
          <w:rFonts w:cs="Calibri"/>
          <w:sz w:val="24"/>
          <w:szCs w:val="24"/>
        </w:rPr>
      </w:pPr>
      <w:r>
        <w:rPr>
          <w:rFonts w:cs="Calibri"/>
          <w:sz w:val="24"/>
          <w:szCs w:val="24"/>
        </w:rPr>
        <w:t>Industry Associations</w:t>
      </w:r>
    </w:p>
    <w:p w14:paraId="74BD826B" w14:textId="7755F9A1" w:rsidR="00D52A14" w:rsidRDefault="00D52A14" w:rsidP="00D52A14">
      <w:pPr>
        <w:numPr>
          <w:ilvl w:val="1"/>
          <w:numId w:val="2"/>
        </w:numPr>
        <w:rPr>
          <w:rFonts w:cs="Calibri"/>
          <w:sz w:val="24"/>
          <w:szCs w:val="24"/>
          <w:highlight w:val="yellow"/>
        </w:rPr>
      </w:pPr>
      <w:r>
        <w:rPr>
          <w:rFonts w:cs="Calibri"/>
          <w:sz w:val="24"/>
          <w:szCs w:val="24"/>
          <w:highlight w:val="yellow"/>
        </w:rPr>
        <w:t>Other Governmental Organizations</w:t>
      </w:r>
    </w:p>
    <w:p w14:paraId="3856813C" w14:textId="133EC9EC" w:rsidR="00EB2DF9" w:rsidRDefault="00EB2DF9" w:rsidP="00EB2DF9">
      <w:pPr>
        <w:ind w:left="1440"/>
        <w:rPr>
          <w:rFonts w:cs="Calibri"/>
          <w:sz w:val="24"/>
          <w:szCs w:val="24"/>
          <w:lang w:eastAsia="zh-CN"/>
        </w:rPr>
      </w:pPr>
      <w:r>
        <w:rPr>
          <w:rFonts w:cs="Calibri" w:hint="eastAsia"/>
          <w:sz w:val="24"/>
          <w:szCs w:val="24"/>
          <w:lang w:eastAsia="zh-CN"/>
        </w:rPr>
        <w:t>C</w:t>
      </w:r>
      <w:r>
        <w:rPr>
          <w:rFonts w:cs="Calibri"/>
          <w:sz w:val="24"/>
          <w:szCs w:val="24"/>
          <w:lang w:eastAsia="zh-CN"/>
        </w:rPr>
        <w:t>BS (</w:t>
      </w:r>
      <w:r w:rsidRPr="00EB2DF9">
        <w:rPr>
          <w:rFonts w:cs="Calibri"/>
          <w:sz w:val="24"/>
          <w:szCs w:val="24"/>
          <w:lang w:eastAsia="zh-CN"/>
        </w:rPr>
        <w:t>U.S. Chemical Safety and Hazard Investigation Board</w:t>
      </w:r>
      <w:r>
        <w:rPr>
          <w:rFonts w:cs="Calibri"/>
          <w:sz w:val="24"/>
          <w:szCs w:val="24"/>
          <w:lang w:eastAsia="zh-CN"/>
        </w:rPr>
        <w:t>)</w:t>
      </w:r>
      <w:r w:rsidR="00DF3A83">
        <w:rPr>
          <w:rFonts w:cs="Calibri"/>
          <w:sz w:val="24"/>
          <w:szCs w:val="24"/>
          <w:lang w:eastAsia="zh-CN"/>
        </w:rPr>
        <w:t xml:space="preserve"> claimed to OSHA</w:t>
      </w:r>
      <w:r w:rsidR="00F9515A">
        <w:rPr>
          <w:rFonts w:cs="Calibri"/>
          <w:sz w:val="24"/>
          <w:szCs w:val="24"/>
          <w:lang w:eastAsia="zh-CN"/>
        </w:rPr>
        <w:t>’s RFI and PSM</w:t>
      </w:r>
      <w:r w:rsidR="00DF3A83">
        <w:rPr>
          <w:rFonts w:cs="Calibri"/>
          <w:sz w:val="24"/>
          <w:szCs w:val="24"/>
          <w:lang w:eastAsia="zh-CN"/>
        </w:rPr>
        <w:t xml:space="preserve"> that</w:t>
      </w:r>
    </w:p>
    <w:p w14:paraId="37231248" w14:textId="092CC82D" w:rsidR="00D20B7D" w:rsidRPr="00D20B7D" w:rsidRDefault="00D20B7D" w:rsidP="00D20B7D">
      <w:pPr>
        <w:numPr>
          <w:ilvl w:val="0"/>
          <w:numId w:val="5"/>
        </w:numPr>
        <w:rPr>
          <w:rFonts w:cs="Calibri"/>
          <w:sz w:val="24"/>
          <w:szCs w:val="24"/>
          <w:lang w:eastAsia="zh-CN"/>
        </w:rPr>
      </w:pPr>
      <w:r w:rsidRPr="00D20B7D">
        <w:rPr>
          <w:rFonts w:cs="Calibri"/>
          <w:sz w:val="24"/>
          <w:szCs w:val="24"/>
          <w:lang w:eastAsia="zh-CN"/>
        </w:rPr>
        <w:t>Add more management system components, such as the use of leading and lagging indicators to drive process safety performance and grant employees the power to halt work, to the regulation, such as expanding its scope to include the Oil and Gas Sector and reactive chemicals, among other things.</w:t>
      </w:r>
    </w:p>
    <w:p w14:paraId="132FF168" w14:textId="2904493B" w:rsidR="00D20B7D" w:rsidRPr="00D20B7D" w:rsidRDefault="00D20B7D" w:rsidP="00D20B7D">
      <w:pPr>
        <w:numPr>
          <w:ilvl w:val="0"/>
          <w:numId w:val="5"/>
        </w:numPr>
        <w:rPr>
          <w:rFonts w:cs="Calibri"/>
          <w:sz w:val="24"/>
          <w:szCs w:val="24"/>
          <w:lang w:eastAsia="zh-CN"/>
        </w:rPr>
      </w:pPr>
      <w:r w:rsidRPr="00D20B7D">
        <w:rPr>
          <w:rFonts w:cs="Calibri"/>
          <w:sz w:val="24"/>
          <w:szCs w:val="24"/>
          <w:lang w:eastAsia="zh-CN"/>
        </w:rPr>
        <w:t>Requirements for Process Hazard Analysis should be updated to incorporate the documented usage of systems that are intrinsically safer, a hierarchy of controls, reviews of harm mechanisms, and adequate and sufficient protections.</w:t>
      </w:r>
    </w:p>
    <w:p w14:paraId="6A79E285" w14:textId="7D5BE5CD" w:rsidR="00D20B7D" w:rsidRPr="00D20B7D" w:rsidRDefault="00D20B7D" w:rsidP="00D20B7D">
      <w:pPr>
        <w:numPr>
          <w:ilvl w:val="0"/>
          <w:numId w:val="5"/>
        </w:numPr>
        <w:rPr>
          <w:rFonts w:cs="Calibri"/>
          <w:sz w:val="24"/>
          <w:szCs w:val="24"/>
          <w:lang w:eastAsia="zh-CN"/>
        </w:rPr>
      </w:pPr>
      <w:r w:rsidRPr="00D20B7D">
        <w:rPr>
          <w:rFonts w:cs="Calibri"/>
          <w:sz w:val="24"/>
          <w:szCs w:val="24"/>
          <w:lang w:eastAsia="zh-CN"/>
        </w:rPr>
        <w:t>Create more detailed specifications for facility/process siting, human factors, and fatigue.</w:t>
      </w:r>
    </w:p>
    <w:p w14:paraId="092EF393" w14:textId="14B92464" w:rsidR="00D20B7D" w:rsidRPr="00D20B7D" w:rsidRDefault="00D20B7D" w:rsidP="00D20B7D">
      <w:pPr>
        <w:numPr>
          <w:ilvl w:val="0"/>
          <w:numId w:val="5"/>
        </w:numPr>
        <w:rPr>
          <w:rFonts w:cs="Calibri"/>
          <w:sz w:val="24"/>
          <w:szCs w:val="24"/>
          <w:lang w:eastAsia="zh-CN"/>
        </w:rPr>
      </w:pPr>
      <w:r w:rsidRPr="00D20B7D">
        <w:rPr>
          <w:rFonts w:cs="Calibri"/>
          <w:sz w:val="24"/>
          <w:szCs w:val="24"/>
          <w:lang w:eastAsia="zh-CN"/>
        </w:rPr>
        <w:t>Specify and assess revisions to RAGAGEP (Recognized and Generally Accepted Good Engineering Practice).</w:t>
      </w:r>
    </w:p>
    <w:p w14:paraId="44B259D3" w14:textId="64308475" w:rsidR="00D20B7D" w:rsidRDefault="00D20B7D" w:rsidP="00D20B7D">
      <w:pPr>
        <w:numPr>
          <w:ilvl w:val="0"/>
          <w:numId w:val="5"/>
        </w:numPr>
        <w:rPr>
          <w:rFonts w:cs="Calibri"/>
          <w:sz w:val="24"/>
          <w:szCs w:val="24"/>
        </w:rPr>
      </w:pPr>
      <w:r w:rsidRPr="00D20B7D">
        <w:rPr>
          <w:rFonts w:cs="Calibri"/>
          <w:sz w:val="24"/>
          <w:szCs w:val="24"/>
          <w:lang w:eastAsia="zh-CN"/>
        </w:rPr>
        <w:t>Expand mechanical integrity criteria to include safety-critical equipment.</w:t>
      </w:r>
    </w:p>
    <w:p w14:paraId="767B23F3" w14:textId="2395CBA6" w:rsidR="00D52A14" w:rsidRDefault="00D52A14" w:rsidP="00D20B7D">
      <w:pPr>
        <w:numPr>
          <w:ilvl w:val="0"/>
          <w:numId w:val="2"/>
        </w:numPr>
        <w:rPr>
          <w:rFonts w:cs="Calibri"/>
          <w:sz w:val="24"/>
          <w:szCs w:val="24"/>
        </w:rPr>
      </w:pPr>
      <w:r>
        <w:rPr>
          <w:rFonts w:cs="Calibri"/>
          <w:sz w:val="24"/>
          <w:szCs w:val="24"/>
        </w:rPr>
        <w:t>Discuss why OSHA chose to use Threshold Quantities of Highly Hazardous Chemicals instead of aggregate quantities.</w:t>
      </w:r>
    </w:p>
    <w:p w14:paraId="021D7AD1" w14:textId="4CA866A9" w:rsidR="00865F24" w:rsidRPr="00865F24" w:rsidRDefault="00866823" w:rsidP="004B3C0B">
      <w:pPr>
        <w:ind w:left="720"/>
        <w:rPr>
          <w:rFonts w:cs="Calibri"/>
          <w:sz w:val="24"/>
          <w:szCs w:val="24"/>
        </w:rPr>
      </w:pPr>
      <w:r w:rsidRPr="00866823">
        <w:rPr>
          <w:rFonts w:cs="Calibri"/>
          <w:sz w:val="24"/>
          <w:szCs w:val="24"/>
        </w:rPr>
        <w:t xml:space="preserve">Most participants who discussed this subject agreed that the threshold quantity should not be aggregated, despite a few individuals suggesting that the quantities of a highly hazardous chemical utilized at multiple places around the plant should all be counted toward the threshold level for coverage. They both agreed that highly dangerous substances scattered across multiple processes </w:t>
      </w:r>
      <w:r>
        <w:rPr>
          <w:rFonts w:cs="Calibri"/>
          <w:sz w:val="24"/>
          <w:szCs w:val="24"/>
        </w:rPr>
        <w:t>at</w:t>
      </w:r>
      <w:r w:rsidRPr="00866823">
        <w:rPr>
          <w:rFonts w:cs="Calibri"/>
          <w:sz w:val="24"/>
          <w:szCs w:val="24"/>
        </w:rPr>
        <w:t xml:space="preserve"> levels below the threshold would not provide the same risk of disaster as the threshold quantity in a single operation.</w:t>
      </w:r>
      <w:r w:rsidR="00865F24" w:rsidRPr="00865F24">
        <w:rPr>
          <w:rFonts w:cs="Calibri"/>
          <w:sz w:val="24"/>
          <w:szCs w:val="24"/>
        </w:rPr>
        <w:cr/>
      </w:r>
    </w:p>
    <w:p w14:paraId="6D27BFEE" w14:textId="0032624C" w:rsidR="00D52A14" w:rsidRDefault="00D52A14" w:rsidP="00D52A14">
      <w:pPr>
        <w:numPr>
          <w:ilvl w:val="0"/>
          <w:numId w:val="2"/>
        </w:numPr>
        <w:rPr>
          <w:rFonts w:cs="Calibri"/>
          <w:sz w:val="24"/>
          <w:szCs w:val="24"/>
        </w:rPr>
      </w:pPr>
      <w:r>
        <w:rPr>
          <w:rFonts w:cs="Calibri"/>
          <w:sz w:val="24"/>
          <w:szCs w:val="24"/>
        </w:rPr>
        <w:lastRenderedPageBreak/>
        <w:t xml:space="preserve">Why didn’t OSHA simply use the EPA “Extremely Hazardous Substance List” </w:t>
      </w:r>
      <w:r w:rsidR="000C2A36">
        <w:rPr>
          <w:rFonts w:cs="Calibri"/>
          <w:sz w:val="24"/>
          <w:szCs w:val="24"/>
        </w:rPr>
        <w:t>from the SARA title III law instead of creating their own “Highly Hazardous Chemical List” for PSM?</w:t>
      </w:r>
    </w:p>
    <w:p w14:paraId="641F32F7" w14:textId="5784460B" w:rsidR="00DF3A83" w:rsidRDefault="00DF3A83" w:rsidP="00DF3A83">
      <w:pPr>
        <w:ind w:left="720" w:firstLine="720"/>
        <w:rPr>
          <w:rFonts w:cs="Calibri"/>
          <w:sz w:val="24"/>
          <w:szCs w:val="24"/>
        </w:rPr>
      </w:pPr>
      <w:r>
        <w:rPr>
          <w:rFonts w:cs="Calibri"/>
          <w:sz w:val="24"/>
          <w:szCs w:val="24"/>
        </w:rPr>
        <w:t>S</w:t>
      </w:r>
      <w:r w:rsidRPr="00DF3A83">
        <w:rPr>
          <w:rFonts w:cs="Calibri"/>
          <w:sz w:val="24"/>
          <w:szCs w:val="24"/>
        </w:rPr>
        <w:t>ince most of the items on the "Extremely Hazardous Substance List" are included on many lists. The same compounds are not included on all lists in the same quantities. Based on an evaluation of these sources, OSHA has made an effort to include those dangerous and reactive compounds that it believes are most crucial in potentially evolving into a catastrophic occurrence. OSHA has also created a list of practical threshold numbers that, when used in a process, would result in coverage of the standard.</w:t>
      </w:r>
    </w:p>
    <w:p w14:paraId="1ABCAC90" w14:textId="1676BC36" w:rsidR="000C2A36" w:rsidRPr="00326BF8" w:rsidRDefault="00F4051C" w:rsidP="00326BF8">
      <w:pPr>
        <w:numPr>
          <w:ilvl w:val="0"/>
          <w:numId w:val="2"/>
        </w:numPr>
        <w:rPr>
          <w:rFonts w:cs="Calibri"/>
          <w:sz w:val="24"/>
          <w:szCs w:val="24"/>
        </w:rPr>
      </w:pPr>
      <w:r>
        <w:rPr>
          <w:rFonts w:cs="Calibri"/>
          <w:sz w:val="24"/>
          <w:szCs w:val="24"/>
        </w:rPr>
        <w:t xml:space="preserve">Identify </w:t>
      </w:r>
      <w:r w:rsidR="000C2A36">
        <w:rPr>
          <w:rFonts w:cs="Calibri"/>
          <w:sz w:val="24"/>
          <w:szCs w:val="24"/>
        </w:rPr>
        <w:t>and describe at least one change OSHA made to the Highly Hazardous Chemical List based on public comments.</w:t>
      </w:r>
    </w:p>
    <w:p w14:paraId="1570C506" w14:textId="77777777" w:rsidR="00990569" w:rsidRDefault="00990569" w:rsidP="00326BF8">
      <w:pPr>
        <w:numPr>
          <w:ilvl w:val="0"/>
          <w:numId w:val="4"/>
        </w:numPr>
        <w:rPr>
          <w:rFonts w:cs="Calibri"/>
          <w:sz w:val="24"/>
          <w:szCs w:val="24"/>
        </w:rPr>
      </w:pPr>
      <w:r w:rsidRPr="00990569">
        <w:rPr>
          <w:rFonts w:cs="Calibri"/>
          <w:sz w:val="24"/>
          <w:szCs w:val="24"/>
        </w:rPr>
        <w:t>The threshold quantities for allylamine were reduced from 1500 pounds to 1000 pounds, peracetic acid (also known as peroxyacetic acid) was reduced from 5000 pounds to 1000 pounds, and tetramethyl lead was reduced from 7500 pounds to 1000 pounds in order to properly reflect their hazardous dangers.</w:t>
      </w:r>
    </w:p>
    <w:p w14:paraId="5B329559" w14:textId="31EEE2CD" w:rsidR="00990569" w:rsidRDefault="00990569" w:rsidP="00094C9F">
      <w:pPr>
        <w:numPr>
          <w:ilvl w:val="0"/>
          <w:numId w:val="4"/>
        </w:numPr>
        <w:rPr>
          <w:rFonts w:cs="Calibri"/>
          <w:sz w:val="24"/>
          <w:szCs w:val="24"/>
        </w:rPr>
      </w:pPr>
      <w:r w:rsidRPr="00990569">
        <w:rPr>
          <w:rFonts w:cs="Calibri"/>
          <w:sz w:val="24"/>
          <w:szCs w:val="24"/>
        </w:rPr>
        <w:t>The amount of 3-bromopropyne, also known as propargyl bromide, was reduced from 7,500 pounds to 100 pounds to reflect its harmful rather than reactive properties.</w:t>
      </w:r>
    </w:p>
    <w:p w14:paraId="7B040B4B" w14:textId="33656871" w:rsidR="00326BF8" w:rsidRPr="00990569" w:rsidRDefault="00990569" w:rsidP="00990569">
      <w:pPr>
        <w:numPr>
          <w:ilvl w:val="0"/>
          <w:numId w:val="4"/>
        </w:numPr>
        <w:rPr>
          <w:rFonts w:cs="Calibri"/>
          <w:sz w:val="24"/>
          <w:szCs w:val="24"/>
        </w:rPr>
      </w:pPr>
      <w:r w:rsidRPr="00990569">
        <w:rPr>
          <w:rFonts w:cs="Calibri"/>
          <w:sz w:val="24"/>
          <w:szCs w:val="24"/>
        </w:rPr>
        <w:t>The incorrect statement that formaldehyde occurs in "concentrations greater than 90%" is removed, and formalin is added to the description to remove any remaining doubt that formalin is covered by the formaldehyde item.</w:t>
      </w:r>
    </w:p>
    <w:p w14:paraId="54649682" w14:textId="77777777" w:rsidR="00990569" w:rsidRPr="00326BF8" w:rsidRDefault="00990569" w:rsidP="00326BF8">
      <w:pPr>
        <w:ind w:left="720"/>
        <w:rPr>
          <w:rFonts w:cs="Calibri"/>
          <w:sz w:val="24"/>
          <w:szCs w:val="24"/>
        </w:rPr>
      </w:pPr>
    </w:p>
    <w:p w14:paraId="00A1506D" w14:textId="5C027577" w:rsidR="000C2A36" w:rsidRDefault="000C2A36" w:rsidP="00D52A14">
      <w:pPr>
        <w:numPr>
          <w:ilvl w:val="0"/>
          <w:numId w:val="2"/>
        </w:numPr>
        <w:rPr>
          <w:rFonts w:cs="Calibri"/>
          <w:sz w:val="24"/>
          <w:szCs w:val="24"/>
        </w:rPr>
      </w:pPr>
      <w:r>
        <w:rPr>
          <w:rFonts w:cs="Calibri"/>
          <w:sz w:val="24"/>
          <w:szCs w:val="24"/>
        </w:rPr>
        <w:t>Some commenters asked that OSHA use a “Technical Basis” for creating the “Highly Hazardous Chemical List.” What does this term mean?</w:t>
      </w:r>
    </w:p>
    <w:p w14:paraId="3AC07E21" w14:textId="77777777" w:rsidR="00866823" w:rsidRDefault="00866823" w:rsidP="00866823">
      <w:pPr>
        <w:ind w:left="720"/>
        <w:rPr>
          <w:rFonts w:cs="Calibri"/>
          <w:sz w:val="24"/>
          <w:szCs w:val="24"/>
        </w:rPr>
      </w:pPr>
      <w:r w:rsidRPr="00866823">
        <w:rPr>
          <w:rFonts w:cs="Calibri"/>
          <w:sz w:val="24"/>
          <w:szCs w:val="24"/>
          <w:lang w:eastAsia="zh-CN"/>
        </w:rPr>
        <w:t>A formula that could be used to add compounds later on that is comparable to the substance danger index that OSHA has suggested could serve as an alternative to the strategy that OSHA now employs.</w:t>
      </w:r>
    </w:p>
    <w:p w14:paraId="382ECAF6" w14:textId="37044B10" w:rsidR="000C2A36" w:rsidRDefault="000C2A36" w:rsidP="000C2A36">
      <w:pPr>
        <w:numPr>
          <w:ilvl w:val="0"/>
          <w:numId w:val="2"/>
        </w:numPr>
        <w:rPr>
          <w:rFonts w:cs="Calibri"/>
          <w:sz w:val="24"/>
          <w:szCs w:val="24"/>
        </w:rPr>
      </w:pPr>
      <w:r>
        <w:rPr>
          <w:rFonts w:cs="Calibri"/>
          <w:sz w:val="24"/>
          <w:szCs w:val="24"/>
        </w:rPr>
        <w:t>Why did OSHA opt for a TQ of 10,000 lbs of Flammable Liquid over the recommendation from several industry groups to use 5 tons of gas/vapor as a threshold quantities for PSM compliance?</w:t>
      </w:r>
    </w:p>
    <w:p w14:paraId="130263E2" w14:textId="7FCFD1C7" w:rsidR="00530024" w:rsidRDefault="00530024" w:rsidP="00866823">
      <w:pPr>
        <w:ind w:firstLine="720"/>
        <w:rPr>
          <w:rFonts w:cs="Calibri"/>
          <w:sz w:val="24"/>
          <w:szCs w:val="24"/>
        </w:rPr>
      </w:pPr>
      <w:r>
        <w:rPr>
          <w:rFonts w:cs="Calibri"/>
          <w:sz w:val="24"/>
          <w:szCs w:val="24"/>
          <w:lang w:eastAsia="zh-CN"/>
        </w:rPr>
        <w:t xml:space="preserve">OSHA </w:t>
      </w:r>
      <w:r>
        <w:rPr>
          <w:rFonts w:cs="Calibri" w:hint="eastAsia"/>
          <w:sz w:val="24"/>
          <w:szCs w:val="24"/>
          <w:lang w:eastAsia="zh-CN"/>
        </w:rPr>
        <w:t>h</w:t>
      </w:r>
      <w:r>
        <w:rPr>
          <w:rFonts w:cs="Calibri"/>
          <w:sz w:val="24"/>
          <w:szCs w:val="24"/>
          <w:lang w:eastAsia="zh-CN"/>
        </w:rPr>
        <w:t xml:space="preserve">ad given the following reasons: </w:t>
      </w:r>
    </w:p>
    <w:p w14:paraId="2F90534A" w14:textId="77777777" w:rsidR="00866823" w:rsidRDefault="00866823" w:rsidP="00530024">
      <w:pPr>
        <w:numPr>
          <w:ilvl w:val="1"/>
          <w:numId w:val="2"/>
        </w:numPr>
        <w:rPr>
          <w:rFonts w:cs="Calibri"/>
          <w:sz w:val="24"/>
          <w:szCs w:val="24"/>
        </w:rPr>
      </w:pPr>
      <w:r w:rsidRPr="00866823">
        <w:rPr>
          <w:rFonts w:cs="Calibri"/>
          <w:sz w:val="24"/>
          <w:szCs w:val="24"/>
        </w:rPr>
        <w:lastRenderedPageBreak/>
        <w:t>Regulatory challenges in creating plausible emission scenarios</w:t>
      </w:r>
    </w:p>
    <w:p w14:paraId="6AC06300" w14:textId="77777777" w:rsidR="00866823" w:rsidRDefault="00866823" w:rsidP="00530024">
      <w:pPr>
        <w:numPr>
          <w:ilvl w:val="1"/>
          <w:numId w:val="2"/>
        </w:numPr>
        <w:rPr>
          <w:rFonts w:cs="Calibri"/>
          <w:sz w:val="24"/>
          <w:szCs w:val="24"/>
        </w:rPr>
      </w:pPr>
      <w:r w:rsidRPr="00866823">
        <w:rPr>
          <w:rFonts w:cs="Calibri"/>
          <w:sz w:val="24"/>
          <w:szCs w:val="24"/>
        </w:rPr>
        <w:t>b. Using "worst case release conditions," which are not defined.</w:t>
      </w:r>
    </w:p>
    <w:p w14:paraId="5A981891" w14:textId="1011891E" w:rsidR="00D26097" w:rsidRDefault="00D26097" w:rsidP="00530024">
      <w:pPr>
        <w:numPr>
          <w:ilvl w:val="1"/>
          <w:numId w:val="2"/>
        </w:numPr>
        <w:rPr>
          <w:rFonts w:cs="Calibri"/>
          <w:sz w:val="24"/>
          <w:szCs w:val="24"/>
          <w:lang w:eastAsia="zh-CN"/>
        </w:rPr>
      </w:pPr>
      <w:r w:rsidRPr="00D26097">
        <w:rPr>
          <w:rFonts w:cs="Calibri"/>
          <w:sz w:val="24"/>
          <w:szCs w:val="24"/>
        </w:rPr>
        <w:t>RP 750 does not specifically address the risks to workers from potential flames as opposed to explosions. For instance, the</w:t>
      </w:r>
      <w:r w:rsidR="002106B0">
        <w:rPr>
          <w:rFonts w:cs="Calibri"/>
          <w:sz w:val="24"/>
          <w:szCs w:val="24"/>
        </w:rPr>
        <w:t xml:space="preserve"> </w:t>
      </w:r>
      <w:r w:rsidRPr="00D26097">
        <w:rPr>
          <w:rFonts w:cs="Calibri"/>
          <w:sz w:val="24"/>
          <w:szCs w:val="24"/>
        </w:rPr>
        <w:t xml:space="preserve">discussion on the likelihood of ignition and explosion of vapor clouds in Appendix A of RP 750 </w:t>
      </w:r>
      <w:r w:rsidR="002106B0">
        <w:rPr>
          <w:rFonts w:cs="Calibri"/>
          <w:sz w:val="24"/>
          <w:szCs w:val="24"/>
        </w:rPr>
        <w:t xml:space="preserve">generally </w:t>
      </w:r>
      <w:r w:rsidRPr="00D26097">
        <w:rPr>
          <w:rFonts w:cs="Calibri"/>
          <w:sz w:val="24"/>
          <w:szCs w:val="24"/>
        </w:rPr>
        <w:t xml:space="preserve">states that when a hydrocarbon vapor cloud forms, it may dissipate </w:t>
      </w:r>
      <w:r w:rsidR="00F26A3A">
        <w:rPr>
          <w:rFonts w:cs="Calibri"/>
          <w:sz w:val="24"/>
          <w:szCs w:val="24"/>
        </w:rPr>
        <w:t>without any harm</w:t>
      </w:r>
      <w:r w:rsidRPr="00D26097">
        <w:rPr>
          <w:rFonts w:cs="Calibri"/>
          <w:sz w:val="24"/>
          <w:szCs w:val="24"/>
        </w:rPr>
        <w:t>,</w:t>
      </w:r>
      <w:r w:rsidR="00E77000">
        <w:rPr>
          <w:rFonts w:cs="Calibri"/>
          <w:sz w:val="24"/>
          <w:szCs w:val="24"/>
        </w:rPr>
        <w:t xml:space="preserve"> and then</w:t>
      </w:r>
      <w:r w:rsidRPr="00D26097">
        <w:rPr>
          <w:rFonts w:cs="Calibri"/>
          <w:sz w:val="24"/>
          <w:szCs w:val="24"/>
        </w:rPr>
        <w:t xml:space="preserve"> be consumed by a flash without </w:t>
      </w:r>
      <w:r w:rsidR="00714DD3">
        <w:rPr>
          <w:rFonts w:cs="Calibri"/>
          <w:sz w:val="24"/>
          <w:szCs w:val="24"/>
        </w:rPr>
        <w:t>noticeably</w:t>
      </w:r>
      <w:r w:rsidRPr="00D26097">
        <w:rPr>
          <w:rFonts w:cs="Calibri"/>
          <w:sz w:val="24"/>
          <w:szCs w:val="24"/>
        </w:rPr>
        <w:t xml:space="preserve"> increasing blast pressures or explo</w:t>
      </w:r>
      <w:r w:rsidR="005F41FC">
        <w:rPr>
          <w:rFonts w:cs="Calibri"/>
          <w:sz w:val="24"/>
          <w:szCs w:val="24"/>
        </w:rPr>
        <w:t>sion</w:t>
      </w:r>
      <w:r w:rsidRPr="00D26097">
        <w:rPr>
          <w:rFonts w:cs="Calibri"/>
          <w:sz w:val="24"/>
          <w:szCs w:val="24"/>
        </w:rPr>
        <w:t>.</w:t>
      </w:r>
    </w:p>
    <w:p w14:paraId="5B182EB3" w14:textId="1E8A96A0" w:rsidR="00D26097" w:rsidRDefault="00D26097" w:rsidP="00530024">
      <w:pPr>
        <w:numPr>
          <w:ilvl w:val="1"/>
          <w:numId w:val="2"/>
        </w:numPr>
        <w:rPr>
          <w:rFonts w:cs="Calibri"/>
          <w:sz w:val="24"/>
          <w:szCs w:val="24"/>
        </w:rPr>
      </w:pPr>
      <w:r w:rsidRPr="00D26097">
        <w:rPr>
          <w:rFonts w:cs="Calibri"/>
          <w:sz w:val="24"/>
          <w:szCs w:val="24"/>
        </w:rPr>
        <w:t xml:space="preserve">While </w:t>
      </w:r>
      <w:r w:rsidR="002106B0">
        <w:rPr>
          <w:rFonts w:cs="Calibri" w:hint="eastAsia"/>
          <w:sz w:val="24"/>
          <w:szCs w:val="24"/>
          <w:lang w:eastAsia="zh-CN"/>
        </w:rPr>
        <w:t>there</w:t>
      </w:r>
      <w:r w:rsidR="002106B0">
        <w:rPr>
          <w:rFonts w:cs="Calibri"/>
          <w:sz w:val="24"/>
          <w:szCs w:val="24"/>
        </w:rPr>
        <w:t xml:space="preserve"> are some explosions resulting from the vapor cloud explosions, with </w:t>
      </w:r>
      <w:r w:rsidRPr="00D26097">
        <w:rPr>
          <w:rFonts w:cs="Calibri"/>
          <w:sz w:val="24"/>
          <w:szCs w:val="24"/>
        </w:rPr>
        <w:t>following releases as small as one ton, the majority of these explosions have happened following releases of more than five tons.</w:t>
      </w:r>
    </w:p>
    <w:p w14:paraId="27D8E7F6" w14:textId="1F187DFB" w:rsidR="00170AB7" w:rsidRPr="00D26097" w:rsidRDefault="00D26097" w:rsidP="00157835">
      <w:pPr>
        <w:numPr>
          <w:ilvl w:val="1"/>
          <w:numId w:val="2"/>
        </w:numPr>
        <w:rPr>
          <w:rFonts w:cs="Calibri"/>
          <w:sz w:val="24"/>
          <w:szCs w:val="24"/>
        </w:rPr>
      </w:pPr>
      <w:r w:rsidRPr="00D26097">
        <w:rPr>
          <w:rFonts w:cs="Calibri"/>
          <w:sz w:val="24"/>
          <w:szCs w:val="24"/>
        </w:rPr>
        <w:t>In addition to explosion risks, OSHA's proposed process safety management standard also addressed fire risks</w:t>
      </w:r>
      <w:r w:rsidR="00157835" w:rsidRPr="00D26097">
        <w:rPr>
          <w:rFonts w:cs="Calibri"/>
          <w:sz w:val="24"/>
          <w:szCs w:val="24"/>
        </w:rPr>
        <w:br w:type="page"/>
      </w:r>
    </w:p>
    <w:p w14:paraId="6EF79E80" w14:textId="3F546362" w:rsidR="009E70E1" w:rsidRDefault="009E70E1" w:rsidP="00D52A14">
      <w:pPr>
        <w:numPr>
          <w:ilvl w:val="0"/>
          <w:numId w:val="1"/>
        </w:numPr>
        <w:rPr>
          <w:rFonts w:cs="Calibri"/>
          <w:b/>
          <w:sz w:val="24"/>
          <w:szCs w:val="24"/>
        </w:rPr>
      </w:pPr>
      <w:r>
        <w:rPr>
          <w:rFonts w:cs="Calibri"/>
          <w:b/>
          <w:sz w:val="24"/>
          <w:szCs w:val="24"/>
        </w:rPr>
        <w:t>CASE STUDY</w:t>
      </w:r>
      <w:r w:rsidR="00F05872">
        <w:rPr>
          <w:rFonts w:cs="Calibri"/>
          <w:b/>
          <w:sz w:val="24"/>
          <w:szCs w:val="24"/>
        </w:rPr>
        <w:t xml:space="preserve"> - </w:t>
      </w:r>
      <w:r>
        <w:rPr>
          <w:rFonts w:cs="Calibri"/>
          <w:b/>
          <w:sz w:val="24"/>
          <w:szCs w:val="24"/>
        </w:rPr>
        <w:t xml:space="preserve">BP Texas City Refinery Fire and Explosion </w:t>
      </w:r>
    </w:p>
    <w:p w14:paraId="09F5063C" w14:textId="77777777" w:rsidR="009E70E1" w:rsidRDefault="009E70E1" w:rsidP="00305BEF">
      <w:pPr>
        <w:autoSpaceDE w:val="0"/>
        <w:autoSpaceDN w:val="0"/>
        <w:adjustRightInd w:val="0"/>
        <w:spacing w:before="120" w:after="120" w:line="240" w:lineRule="auto"/>
        <w:rPr>
          <w:rFonts w:cs="Calibri"/>
          <w:color w:val="000000"/>
          <w:sz w:val="24"/>
          <w:szCs w:val="24"/>
        </w:rPr>
      </w:pPr>
      <w:r>
        <w:rPr>
          <w:rFonts w:cs="Calibri"/>
          <w:color w:val="000000"/>
          <w:sz w:val="24"/>
          <w:szCs w:val="24"/>
        </w:rPr>
        <w:t xml:space="preserve">“On March 23, 2005, at 1:20 p.m., the BP Texas City Refinery suffered one of the worst industrial disasters in recent U.S. history. Explosions and fires killed 15 people and injured another 180, alarmed the community, and resulted in financial losses exceeding $1.5 billion. The incident occurred during the startup of an isomerization1 (ISOM) unit when a raffinate splitter tower was overfilled; pressure relief devices opened, resulting in a flammable liquid geyser from a blowdown stack that was not equipped with a flare. The release of flammables led to an explosion and fire. All of the fatalities occurred in or near office trailers located close to the blowdown drum. A shelter-in-place order was issued that required 43,000 people to remain indoors. Houses were damaged as far away as three-quarters of a mile from the refinery. </w:t>
      </w:r>
    </w:p>
    <w:p w14:paraId="17FCDCA7" w14:textId="77777777" w:rsidR="009E70E1" w:rsidRDefault="009E70E1" w:rsidP="00305BEF">
      <w:pPr>
        <w:rPr>
          <w:rFonts w:cs="Calibri"/>
          <w:color w:val="000000"/>
          <w:sz w:val="24"/>
          <w:szCs w:val="24"/>
        </w:rPr>
      </w:pPr>
      <w:r>
        <w:rPr>
          <w:rFonts w:cs="Calibri"/>
          <w:color w:val="000000"/>
          <w:sz w:val="24"/>
          <w:szCs w:val="24"/>
        </w:rPr>
        <w:t>The BP Texas City facility is the third-largest oil refinery in the United States.”</w:t>
      </w:r>
      <w:r>
        <w:rPr>
          <w:rStyle w:val="a6"/>
          <w:rFonts w:cs="Calibri"/>
          <w:color w:val="000000"/>
          <w:sz w:val="24"/>
          <w:szCs w:val="24"/>
        </w:rPr>
        <w:footnoteReference w:id="1"/>
      </w:r>
    </w:p>
    <w:p w14:paraId="074498BF" w14:textId="77777777" w:rsidR="00A62098" w:rsidRDefault="009E70E1" w:rsidP="00A62098">
      <w:pPr>
        <w:jc w:val="center"/>
        <w:rPr>
          <w:rFonts w:cs="Calibri"/>
          <w:color w:val="000000"/>
          <w:sz w:val="24"/>
          <w:szCs w:val="24"/>
        </w:rPr>
      </w:pPr>
      <w:r>
        <w:rPr>
          <w:rFonts w:cs="Calibri"/>
          <w:color w:val="000000"/>
          <w:sz w:val="24"/>
          <w:szCs w:val="24"/>
        </w:rPr>
        <w:t>Watch the video “Anatomy of a Disaster”</w:t>
      </w:r>
    </w:p>
    <w:p w14:paraId="2EDD0B81" w14:textId="08C31333" w:rsidR="00A62098" w:rsidRDefault="00000000" w:rsidP="00A62098">
      <w:pPr>
        <w:jc w:val="center"/>
        <w:rPr>
          <w:rStyle w:val="a3"/>
          <w:rFonts w:cs="Calibri"/>
          <w:sz w:val="24"/>
          <w:szCs w:val="24"/>
        </w:rPr>
      </w:pPr>
      <w:hyperlink r:id="rId7" w:history="1">
        <w:r w:rsidR="00062D5F">
          <w:rPr>
            <w:rStyle w:val="a3"/>
            <w:rFonts w:cs="Calibri"/>
            <w:sz w:val="24"/>
            <w:szCs w:val="24"/>
          </w:rPr>
          <w:t>http://www.csb.gov/videos/anatomy-of-a-disaster/</w:t>
        </w:r>
      </w:hyperlink>
    </w:p>
    <w:p w14:paraId="313D1227" w14:textId="463A62E6" w:rsidR="00795156" w:rsidRDefault="00F05872" w:rsidP="00305BEF">
      <w:pPr>
        <w:rPr>
          <w:rFonts w:cs="Calibri"/>
          <w:color w:val="000000"/>
          <w:sz w:val="24"/>
          <w:szCs w:val="24"/>
        </w:rPr>
      </w:pPr>
      <w:r>
        <w:rPr>
          <w:rFonts w:cs="Calibri"/>
          <w:color w:val="000000"/>
          <w:sz w:val="24"/>
          <w:szCs w:val="24"/>
        </w:rPr>
        <w:t xml:space="preserve">Review </w:t>
      </w:r>
      <w:r w:rsidR="00795156">
        <w:rPr>
          <w:rFonts w:cs="Calibri"/>
          <w:color w:val="000000"/>
          <w:sz w:val="24"/>
          <w:szCs w:val="24"/>
        </w:rPr>
        <w:t xml:space="preserve">the BP Texas City incident and the </w:t>
      </w:r>
      <w:r w:rsidR="00795156">
        <w:rPr>
          <w:rFonts w:cs="Calibri"/>
          <w:b/>
          <w:bCs/>
          <w:color w:val="000000"/>
          <w:sz w:val="24"/>
          <w:szCs w:val="24"/>
        </w:rPr>
        <w:t>physical system errors</w:t>
      </w:r>
      <w:r w:rsidR="00795156">
        <w:rPr>
          <w:rFonts w:cs="Calibri"/>
          <w:color w:val="000000"/>
          <w:sz w:val="24"/>
          <w:szCs w:val="24"/>
        </w:rPr>
        <w:t xml:space="preserve"> and </w:t>
      </w:r>
      <w:r w:rsidR="00795156">
        <w:rPr>
          <w:rFonts w:cs="Calibri"/>
          <w:b/>
          <w:bCs/>
          <w:color w:val="000000"/>
          <w:sz w:val="24"/>
          <w:szCs w:val="24"/>
        </w:rPr>
        <w:t>personnel/management errors</w:t>
      </w:r>
      <w:r w:rsidR="00795156">
        <w:rPr>
          <w:rFonts w:cs="Calibri"/>
          <w:color w:val="000000"/>
          <w:sz w:val="24"/>
          <w:szCs w:val="24"/>
        </w:rPr>
        <w:t xml:space="preserve"> that caused or contributed to the incident and the severe consequences. Physical system errors are ones such as design errors, malfunctioning gauges, etc.  Personnel/management errors would include lack of proper relief, violating procedures, etc.</w:t>
      </w:r>
    </w:p>
    <w:p w14:paraId="09FAFAFC" w14:textId="0655B581" w:rsidR="00A62098" w:rsidRDefault="009E70E1" w:rsidP="00305BEF">
      <w:pPr>
        <w:rPr>
          <w:rFonts w:cs="Calibri"/>
          <w:color w:val="000000"/>
          <w:sz w:val="24"/>
          <w:szCs w:val="24"/>
        </w:rPr>
      </w:pPr>
      <w:r>
        <w:rPr>
          <w:rFonts w:cs="Calibri"/>
          <w:color w:val="000000"/>
          <w:sz w:val="24"/>
          <w:szCs w:val="24"/>
        </w:rPr>
        <w:t xml:space="preserve">Build </w:t>
      </w:r>
      <w:r>
        <w:rPr>
          <w:rFonts w:cs="Calibri"/>
          <w:b/>
          <w:bCs/>
          <w:color w:val="000000"/>
          <w:sz w:val="24"/>
          <w:szCs w:val="24"/>
        </w:rPr>
        <w:t xml:space="preserve">a </w:t>
      </w:r>
      <w:r w:rsidR="004677F3">
        <w:rPr>
          <w:rFonts w:cs="Calibri"/>
          <w:b/>
          <w:bCs/>
          <w:color w:val="000000"/>
          <w:sz w:val="24"/>
          <w:szCs w:val="24"/>
        </w:rPr>
        <w:t>t</w:t>
      </w:r>
      <w:r>
        <w:rPr>
          <w:rFonts w:cs="Calibri"/>
          <w:b/>
          <w:bCs/>
          <w:color w:val="000000"/>
          <w:sz w:val="24"/>
          <w:szCs w:val="24"/>
        </w:rPr>
        <w:t xml:space="preserve">able </w:t>
      </w:r>
      <w:r w:rsidR="00795156">
        <w:rPr>
          <w:rFonts w:cs="Calibri"/>
          <w:b/>
          <w:bCs/>
          <w:color w:val="000000"/>
          <w:sz w:val="24"/>
          <w:szCs w:val="24"/>
        </w:rPr>
        <w:t>in Excel</w:t>
      </w:r>
      <w:r w:rsidR="00795156">
        <w:rPr>
          <w:rFonts w:cs="Calibri"/>
          <w:color w:val="000000"/>
          <w:sz w:val="24"/>
          <w:szCs w:val="24"/>
        </w:rPr>
        <w:t xml:space="preserve"> </w:t>
      </w:r>
      <w:r w:rsidR="00A62098">
        <w:rPr>
          <w:rFonts w:cs="Calibri"/>
          <w:color w:val="000000"/>
          <w:sz w:val="24"/>
          <w:szCs w:val="24"/>
        </w:rPr>
        <w:t xml:space="preserve">that </w:t>
      </w:r>
      <w:r w:rsidR="00795156">
        <w:rPr>
          <w:rFonts w:cs="Calibri"/>
          <w:color w:val="000000"/>
          <w:sz w:val="24"/>
          <w:szCs w:val="24"/>
        </w:rPr>
        <w:t xml:space="preserve">depicts the </w:t>
      </w:r>
      <w:r w:rsidR="00795156">
        <w:rPr>
          <w:rFonts w:cs="Calibri"/>
          <w:b/>
          <w:bCs/>
          <w:color w:val="000000"/>
          <w:sz w:val="24"/>
          <w:szCs w:val="24"/>
        </w:rPr>
        <w:t>system and personnel errors and their root causes</w:t>
      </w:r>
      <w:r w:rsidR="00795156">
        <w:rPr>
          <w:rFonts w:cs="Calibri"/>
          <w:color w:val="000000"/>
          <w:sz w:val="24"/>
          <w:szCs w:val="24"/>
        </w:rPr>
        <w:t xml:space="preserve">. </w:t>
      </w:r>
      <w:r>
        <w:rPr>
          <w:rFonts w:cs="Calibri"/>
          <w:color w:val="000000"/>
          <w:sz w:val="24"/>
          <w:szCs w:val="24"/>
        </w:rPr>
        <w:t>Divide th</w:t>
      </w:r>
      <w:r w:rsidR="00A62098">
        <w:rPr>
          <w:rFonts w:cs="Calibri"/>
          <w:color w:val="000000"/>
          <w:sz w:val="24"/>
          <w:szCs w:val="24"/>
        </w:rPr>
        <w:t>e</w:t>
      </w:r>
      <w:r>
        <w:rPr>
          <w:rFonts w:cs="Calibri"/>
          <w:color w:val="000000"/>
          <w:sz w:val="24"/>
          <w:szCs w:val="24"/>
        </w:rPr>
        <w:t xml:space="preserve"> table into the problems with the physical system and personnel/management errors.  </w:t>
      </w:r>
      <w:r w:rsidR="00A62098">
        <w:rPr>
          <w:rFonts w:cs="Calibri"/>
          <w:color w:val="000000"/>
          <w:sz w:val="24"/>
          <w:szCs w:val="24"/>
        </w:rPr>
        <w:t xml:space="preserve">Be very </w:t>
      </w:r>
      <w:r w:rsidR="00A62098">
        <w:rPr>
          <w:rFonts w:cs="Calibri"/>
          <w:b/>
          <w:bCs/>
          <w:color w:val="000000"/>
          <w:sz w:val="24"/>
          <w:szCs w:val="24"/>
        </w:rPr>
        <w:t>specific</w:t>
      </w:r>
      <w:r w:rsidR="00A62098">
        <w:rPr>
          <w:rFonts w:cs="Calibri"/>
          <w:color w:val="000000"/>
          <w:sz w:val="24"/>
          <w:szCs w:val="24"/>
        </w:rPr>
        <w:t xml:space="preserve"> in your description</w:t>
      </w:r>
      <w:r w:rsidR="00795156">
        <w:rPr>
          <w:rFonts w:cs="Calibri"/>
          <w:color w:val="000000"/>
          <w:sz w:val="24"/>
          <w:szCs w:val="24"/>
        </w:rPr>
        <w:t>s</w:t>
      </w:r>
      <w:r w:rsidR="00A62098">
        <w:rPr>
          <w:rFonts w:cs="Calibri"/>
          <w:color w:val="000000"/>
          <w:sz w:val="24"/>
          <w:szCs w:val="24"/>
        </w:rPr>
        <w:t xml:space="preserve"> of the problems</w:t>
      </w:r>
      <w:r w:rsidR="004677F3">
        <w:rPr>
          <w:rFonts w:cs="Calibri"/>
          <w:color w:val="000000"/>
          <w:sz w:val="24"/>
          <w:szCs w:val="24"/>
        </w:rPr>
        <w:t xml:space="preserve"> </w:t>
      </w:r>
      <w:r w:rsidR="00485A78">
        <w:rPr>
          <w:rFonts w:cs="Calibri"/>
          <w:color w:val="000000"/>
          <w:sz w:val="24"/>
          <w:szCs w:val="24"/>
        </w:rPr>
        <w:t>(errors)</w:t>
      </w:r>
      <w:r w:rsidR="00795156">
        <w:rPr>
          <w:rFonts w:cs="Calibri"/>
          <w:color w:val="000000"/>
          <w:sz w:val="24"/>
          <w:szCs w:val="24"/>
        </w:rPr>
        <w:t xml:space="preserve"> and link the root causes to the appropriate system error.</w:t>
      </w:r>
    </w:p>
    <w:p w14:paraId="074BE850" w14:textId="4AA85540" w:rsidR="004677F3" w:rsidRDefault="004677F3" w:rsidP="00305BEF">
      <w:pPr>
        <w:rPr>
          <w:rFonts w:cs="Calibri"/>
          <w:color w:val="000000"/>
          <w:sz w:val="24"/>
          <w:szCs w:val="24"/>
        </w:rPr>
      </w:pPr>
      <w:r>
        <w:rPr>
          <w:rFonts w:cs="Calibri"/>
          <w:color w:val="000000"/>
          <w:sz w:val="24"/>
          <w:szCs w:val="24"/>
        </w:rPr>
        <w:t xml:space="preserve">In a separate tab in the same Excel file, create a </w:t>
      </w:r>
      <w:r>
        <w:rPr>
          <w:rFonts w:cs="Calibri"/>
          <w:b/>
          <w:bCs/>
          <w:color w:val="000000"/>
          <w:sz w:val="24"/>
          <w:szCs w:val="24"/>
        </w:rPr>
        <w:t>matrix of recommendations</w:t>
      </w:r>
      <w:r>
        <w:rPr>
          <w:rFonts w:cs="Calibri"/>
          <w:color w:val="000000"/>
          <w:sz w:val="24"/>
          <w:szCs w:val="24"/>
        </w:rPr>
        <w:t xml:space="preserve"> from all of the stakeholders involved in the investigation and subsequent analysis of the incident.</w:t>
      </w:r>
      <w:r w:rsidR="00B20DE6">
        <w:rPr>
          <w:rFonts w:cs="Calibri"/>
          <w:color w:val="000000"/>
          <w:sz w:val="24"/>
          <w:szCs w:val="24"/>
        </w:rPr>
        <w:t xml:space="preserve">  Link each Recommendation back to the root cause identified in the first tab.</w:t>
      </w:r>
    </w:p>
    <w:p w14:paraId="275E4EEF" w14:textId="0A1E43FC" w:rsidR="009E70E1" w:rsidRDefault="009E70E1" w:rsidP="00305BEF">
      <w:pPr>
        <w:rPr>
          <w:rFonts w:cs="Calibri"/>
          <w:color w:val="000000"/>
          <w:sz w:val="24"/>
          <w:szCs w:val="24"/>
        </w:rPr>
      </w:pPr>
      <w:r>
        <w:rPr>
          <w:rFonts w:cs="Calibri"/>
          <w:color w:val="000000"/>
          <w:sz w:val="24"/>
          <w:szCs w:val="24"/>
        </w:rPr>
        <w:t>The</w:t>
      </w:r>
      <w:r w:rsidR="000A0AA6">
        <w:rPr>
          <w:rFonts w:cs="Calibri"/>
          <w:color w:val="000000"/>
          <w:sz w:val="24"/>
          <w:szCs w:val="24"/>
        </w:rPr>
        <w:t xml:space="preserve"> Lab </w:t>
      </w:r>
      <w:r w:rsidR="00F05872">
        <w:rPr>
          <w:rFonts w:cs="Calibri"/>
          <w:color w:val="000000"/>
          <w:sz w:val="24"/>
          <w:szCs w:val="24"/>
        </w:rPr>
        <w:t>4</w:t>
      </w:r>
      <w:r w:rsidR="000A0AA6">
        <w:rPr>
          <w:rFonts w:cs="Calibri"/>
          <w:color w:val="000000"/>
          <w:sz w:val="24"/>
          <w:szCs w:val="24"/>
        </w:rPr>
        <w:t xml:space="preserve"> </w:t>
      </w:r>
      <w:r w:rsidR="000C2A36">
        <w:rPr>
          <w:rFonts w:cs="Calibri"/>
          <w:color w:val="000000"/>
          <w:sz w:val="24"/>
          <w:szCs w:val="24"/>
        </w:rPr>
        <w:t xml:space="preserve">Word document and </w:t>
      </w:r>
      <w:r w:rsidR="00F05872">
        <w:rPr>
          <w:rFonts w:cs="Calibri"/>
          <w:color w:val="000000"/>
          <w:sz w:val="24"/>
          <w:szCs w:val="24"/>
        </w:rPr>
        <w:t xml:space="preserve">Excel </w:t>
      </w:r>
      <w:r>
        <w:rPr>
          <w:rFonts w:cs="Calibri"/>
          <w:color w:val="000000"/>
          <w:sz w:val="24"/>
          <w:szCs w:val="24"/>
        </w:rPr>
        <w:t xml:space="preserve">should be uploaded into </w:t>
      </w:r>
      <w:r w:rsidR="00795156">
        <w:rPr>
          <w:rFonts w:cs="Calibri"/>
          <w:color w:val="000000"/>
          <w:sz w:val="24"/>
          <w:szCs w:val="24"/>
        </w:rPr>
        <w:t xml:space="preserve">the </w:t>
      </w:r>
      <w:r w:rsidR="00F05872">
        <w:rPr>
          <w:rFonts w:cs="Calibri"/>
          <w:color w:val="000000"/>
          <w:sz w:val="24"/>
          <w:szCs w:val="24"/>
        </w:rPr>
        <w:t>Canvas</w:t>
      </w:r>
      <w:r w:rsidR="00795156">
        <w:rPr>
          <w:rFonts w:cs="Calibri"/>
          <w:color w:val="000000"/>
          <w:sz w:val="24"/>
          <w:szCs w:val="24"/>
        </w:rPr>
        <w:t xml:space="preserve"> Lab </w:t>
      </w:r>
      <w:r w:rsidR="00F05872">
        <w:rPr>
          <w:rFonts w:cs="Calibri"/>
          <w:color w:val="000000"/>
          <w:sz w:val="24"/>
          <w:szCs w:val="24"/>
        </w:rPr>
        <w:t>4</w:t>
      </w:r>
      <w:r>
        <w:rPr>
          <w:rFonts w:cs="Calibri"/>
          <w:color w:val="000000"/>
          <w:sz w:val="24"/>
          <w:szCs w:val="24"/>
        </w:rPr>
        <w:t xml:space="preserve"> </w:t>
      </w:r>
      <w:r w:rsidR="00F05872">
        <w:rPr>
          <w:rFonts w:cs="Calibri"/>
          <w:color w:val="000000"/>
          <w:sz w:val="24"/>
          <w:szCs w:val="24"/>
        </w:rPr>
        <w:t>Assignment</w:t>
      </w:r>
      <w:r w:rsidR="00795156">
        <w:rPr>
          <w:rFonts w:cs="Calibri"/>
          <w:color w:val="000000"/>
          <w:sz w:val="24"/>
          <w:szCs w:val="24"/>
        </w:rPr>
        <w:t xml:space="preserve"> by the end of the </w:t>
      </w:r>
      <w:r w:rsidR="000C2A36">
        <w:rPr>
          <w:rFonts w:cs="Calibri"/>
          <w:color w:val="000000"/>
          <w:sz w:val="24"/>
          <w:szCs w:val="24"/>
        </w:rPr>
        <w:t>l</w:t>
      </w:r>
      <w:r w:rsidR="00795156">
        <w:rPr>
          <w:rFonts w:cs="Calibri"/>
          <w:color w:val="000000"/>
          <w:sz w:val="24"/>
          <w:szCs w:val="24"/>
        </w:rPr>
        <w:t>ab period.</w:t>
      </w:r>
    </w:p>
    <w:p w14:paraId="4622E2C7" w14:textId="4362CA07" w:rsidR="00055C97" w:rsidRDefault="00055C97" w:rsidP="00055C97">
      <w:pPr>
        <w:rPr>
          <w:rFonts w:cs="Calibri"/>
          <w:color w:val="000000"/>
          <w:sz w:val="24"/>
          <w:szCs w:val="24"/>
        </w:rPr>
      </w:pPr>
    </w:p>
    <w:p w14:paraId="3FED514C" w14:textId="0E54B9E3" w:rsidR="00055C97" w:rsidRDefault="00055C97" w:rsidP="00055C97">
      <w:pPr>
        <w:tabs>
          <w:tab w:val="left" w:pos="900"/>
        </w:tabs>
        <w:rPr>
          <w:rFonts w:cs="Calibri"/>
          <w:sz w:val="24"/>
          <w:szCs w:val="24"/>
        </w:rPr>
      </w:pPr>
      <w:r>
        <w:rPr>
          <w:rFonts w:cs="Calibri"/>
          <w:sz w:val="24"/>
          <w:szCs w:val="24"/>
        </w:rPr>
        <w:tab/>
      </w:r>
    </w:p>
    <w:sectPr w:rsidR="00055C97" w:rsidSect="009B6B3E">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489DB7" w14:textId="77777777" w:rsidR="00DB6101" w:rsidRDefault="00DB6101" w:rsidP="00305BEF">
      <w:pPr>
        <w:spacing w:after="0" w:line="240" w:lineRule="auto"/>
      </w:pPr>
      <w:r>
        <w:separator/>
      </w:r>
    </w:p>
  </w:endnote>
  <w:endnote w:type="continuationSeparator" w:id="0">
    <w:p w14:paraId="6EB71B30" w14:textId="77777777" w:rsidR="00DB6101" w:rsidRDefault="00DB6101" w:rsidP="00305B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BC751B" w14:textId="54B03739" w:rsidR="004677F3" w:rsidRPr="00F679D2" w:rsidRDefault="00F679D2" w:rsidP="00F679D2">
    <w:pPr>
      <w:pStyle w:val="a9"/>
    </w:pPr>
    <w:r>
      <w:fldChar w:fldCharType="begin"/>
    </w:r>
    <w:r>
      <w:instrText xml:space="preserve"> DATE \@ "MMM-yy" </w:instrText>
    </w:r>
    <w:r>
      <w:fldChar w:fldCharType="separate"/>
    </w:r>
    <w:r w:rsidR="002106B0">
      <w:rPr>
        <w:noProof/>
      </w:rPr>
      <w:t>Sep-22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26E66C" w14:textId="77777777" w:rsidR="00DB6101" w:rsidRDefault="00DB6101" w:rsidP="00305BEF">
      <w:pPr>
        <w:spacing w:after="0" w:line="240" w:lineRule="auto"/>
      </w:pPr>
      <w:r>
        <w:separator/>
      </w:r>
    </w:p>
  </w:footnote>
  <w:footnote w:type="continuationSeparator" w:id="0">
    <w:p w14:paraId="3B5F2733" w14:textId="77777777" w:rsidR="00DB6101" w:rsidRDefault="00DB6101" w:rsidP="00305BEF">
      <w:pPr>
        <w:spacing w:after="0" w:line="240" w:lineRule="auto"/>
      </w:pPr>
      <w:r>
        <w:continuationSeparator/>
      </w:r>
    </w:p>
  </w:footnote>
  <w:footnote w:id="1">
    <w:p w14:paraId="27F2081B" w14:textId="4F2CF0CA" w:rsidR="009E70E1" w:rsidRDefault="009E70E1">
      <w:pPr>
        <w:pStyle w:val="a4"/>
      </w:pPr>
      <w:r>
        <w:rPr>
          <w:rStyle w:val="a6"/>
        </w:rPr>
        <w:footnoteRef/>
      </w:r>
      <w:r>
        <w:t xml:space="preserve"> </w:t>
      </w:r>
      <w:smartTag w:uri="urn:schemas-microsoft-com:office:smarttags" w:element="place">
        <w:smartTag w:uri="urn:schemas-microsoft-com:office:smarttags" w:element="country-region">
          <w:r>
            <w:t>U.S.</w:t>
          </w:r>
        </w:smartTag>
      </w:smartTag>
      <w:r>
        <w:t xml:space="preserve"> Chemical Safety Board, Report No. 2005-04-I-TX, March 2007 , pg. 17,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F191D3" w14:textId="77777777" w:rsidR="009E70E1" w:rsidRDefault="009E70E1" w:rsidP="00366840">
    <w:pPr>
      <w:pStyle w:val="a7"/>
      <w:tabs>
        <w:tab w:val="left" w:pos="8640"/>
      </w:tabs>
    </w:pPr>
  </w:p>
  <w:p w14:paraId="447439DF" w14:textId="167F196E" w:rsidR="009E70E1" w:rsidRDefault="00A62098" w:rsidP="00366840">
    <w:pPr>
      <w:pStyle w:val="a7"/>
      <w:tabs>
        <w:tab w:val="clear" w:pos="8640"/>
        <w:tab w:val="right" w:pos="9360"/>
      </w:tabs>
      <w:rPr>
        <w:rFonts w:cs="Calibri"/>
        <w:u w:val="single"/>
      </w:rPr>
    </w:pPr>
    <w:r>
      <w:rPr>
        <w:rFonts w:cs="Calibri"/>
        <w:u w:val="single"/>
      </w:rPr>
      <w:t xml:space="preserve">FPST 4333 </w:t>
    </w:r>
    <w:r w:rsidR="009E70E1">
      <w:rPr>
        <w:rFonts w:cs="Calibri"/>
        <w:u w:val="single"/>
      </w:rPr>
      <w:t xml:space="preserve">System </w:t>
    </w:r>
    <w:r w:rsidR="00B530BA">
      <w:rPr>
        <w:rFonts w:cs="Calibri"/>
        <w:u w:val="single"/>
      </w:rPr>
      <w:t xml:space="preserve">&amp; Process </w:t>
    </w:r>
    <w:r w:rsidR="009E70E1">
      <w:rPr>
        <w:rFonts w:cs="Calibri"/>
        <w:u w:val="single"/>
      </w:rPr>
      <w:t>Safety</w:t>
    </w:r>
    <w:r>
      <w:rPr>
        <w:rFonts w:cs="Calibri"/>
        <w:u w:val="single"/>
      </w:rPr>
      <w:t xml:space="preserve"> Analysis</w:t>
    </w:r>
    <w:r w:rsidR="009E70E1">
      <w:rPr>
        <w:rFonts w:cs="Calibri"/>
        <w:u w:val="single"/>
      </w:rPr>
      <w:t xml:space="preserve">                                              </w:t>
    </w:r>
    <w:r w:rsidR="004677F3">
      <w:rPr>
        <w:rFonts w:cs="Calibri"/>
        <w:u w:val="single"/>
      </w:rPr>
      <w:t xml:space="preserve">                 </w:t>
    </w:r>
    <w:r>
      <w:rPr>
        <w:rFonts w:cs="Calibri"/>
        <w:u w:val="single"/>
      </w:rPr>
      <w:t>Lab</w:t>
    </w:r>
    <w:r w:rsidR="00F05872">
      <w:rPr>
        <w:rFonts w:cs="Calibri"/>
        <w:u w:val="single"/>
      </w:rPr>
      <w:t xml:space="preserve"> </w:t>
    </w:r>
    <w:r w:rsidR="00366840">
      <w:rPr>
        <w:rFonts w:cs="Calibri"/>
        <w:u w:val="single"/>
      </w:rPr>
      <w:t>PSM/RMP Case Study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5504EB"/>
    <w:multiLevelType w:val="hybridMultilevel"/>
    <w:tmpl w:val="912822C2"/>
    <w:lvl w:ilvl="0" w:tplc="04090001">
      <w:start w:val="1"/>
      <w:numFmt w:val="bullet"/>
      <w:lvlText w:val=""/>
      <w:lvlJc w:val="left"/>
      <w:pPr>
        <w:ind w:left="1860" w:hanging="420"/>
      </w:pPr>
      <w:rPr>
        <w:rFonts w:ascii="Wingdings" w:hAnsi="Wingdings" w:hint="default"/>
      </w:rPr>
    </w:lvl>
    <w:lvl w:ilvl="1" w:tplc="04090003" w:tentative="1">
      <w:start w:val="1"/>
      <w:numFmt w:val="bullet"/>
      <w:lvlText w:val=""/>
      <w:lvlJc w:val="left"/>
      <w:pPr>
        <w:ind w:left="2280" w:hanging="420"/>
      </w:pPr>
      <w:rPr>
        <w:rFonts w:ascii="Wingdings" w:hAnsi="Wingdings" w:hint="default"/>
      </w:rPr>
    </w:lvl>
    <w:lvl w:ilvl="2" w:tplc="04090005" w:tentative="1">
      <w:start w:val="1"/>
      <w:numFmt w:val="bullet"/>
      <w:lvlText w:val=""/>
      <w:lvlJc w:val="left"/>
      <w:pPr>
        <w:ind w:left="2700" w:hanging="420"/>
      </w:pPr>
      <w:rPr>
        <w:rFonts w:ascii="Wingdings" w:hAnsi="Wingdings" w:hint="default"/>
      </w:rPr>
    </w:lvl>
    <w:lvl w:ilvl="3" w:tplc="04090001" w:tentative="1">
      <w:start w:val="1"/>
      <w:numFmt w:val="bullet"/>
      <w:lvlText w:val=""/>
      <w:lvlJc w:val="left"/>
      <w:pPr>
        <w:ind w:left="3120" w:hanging="420"/>
      </w:pPr>
      <w:rPr>
        <w:rFonts w:ascii="Wingdings" w:hAnsi="Wingdings" w:hint="default"/>
      </w:rPr>
    </w:lvl>
    <w:lvl w:ilvl="4" w:tplc="04090003" w:tentative="1">
      <w:start w:val="1"/>
      <w:numFmt w:val="bullet"/>
      <w:lvlText w:val=""/>
      <w:lvlJc w:val="left"/>
      <w:pPr>
        <w:ind w:left="3540" w:hanging="420"/>
      </w:pPr>
      <w:rPr>
        <w:rFonts w:ascii="Wingdings" w:hAnsi="Wingdings" w:hint="default"/>
      </w:rPr>
    </w:lvl>
    <w:lvl w:ilvl="5" w:tplc="04090005" w:tentative="1">
      <w:start w:val="1"/>
      <w:numFmt w:val="bullet"/>
      <w:lvlText w:val=""/>
      <w:lvlJc w:val="left"/>
      <w:pPr>
        <w:ind w:left="3960" w:hanging="420"/>
      </w:pPr>
      <w:rPr>
        <w:rFonts w:ascii="Wingdings" w:hAnsi="Wingdings" w:hint="default"/>
      </w:rPr>
    </w:lvl>
    <w:lvl w:ilvl="6" w:tplc="04090001" w:tentative="1">
      <w:start w:val="1"/>
      <w:numFmt w:val="bullet"/>
      <w:lvlText w:val=""/>
      <w:lvlJc w:val="left"/>
      <w:pPr>
        <w:ind w:left="4380" w:hanging="420"/>
      </w:pPr>
      <w:rPr>
        <w:rFonts w:ascii="Wingdings" w:hAnsi="Wingdings" w:hint="default"/>
      </w:rPr>
    </w:lvl>
    <w:lvl w:ilvl="7" w:tplc="04090003" w:tentative="1">
      <w:start w:val="1"/>
      <w:numFmt w:val="bullet"/>
      <w:lvlText w:val=""/>
      <w:lvlJc w:val="left"/>
      <w:pPr>
        <w:ind w:left="4800" w:hanging="420"/>
      </w:pPr>
      <w:rPr>
        <w:rFonts w:ascii="Wingdings" w:hAnsi="Wingdings" w:hint="default"/>
      </w:rPr>
    </w:lvl>
    <w:lvl w:ilvl="8" w:tplc="04090005" w:tentative="1">
      <w:start w:val="1"/>
      <w:numFmt w:val="bullet"/>
      <w:lvlText w:val=""/>
      <w:lvlJc w:val="left"/>
      <w:pPr>
        <w:ind w:left="5220" w:hanging="420"/>
      </w:pPr>
      <w:rPr>
        <w:rFonts w:ascii="Wingdings" w:hAnsi="Wingdings" w:hint="default"/>
      </w:rPr>
    </w:lvl>
  </w:abstractNum>
  <w:abstractNum w:abstractNumId="1" w15:restartNumberingAfterBreak="0">
    <w:nsid w:val="44634D09"/>
    <w:multiLevelType w:val="hybridMultilevel"/>
    <w:tmpl w:val="19D20E2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DB6347E"/>
    <w:multiLevelType w:val="hybridMultilevel"/>
    <w:tmpl w:val="E9BEC738"/>
    <w:lvl w:ilvl="0" w:tplc="04090001">
      <w:start w:val="1"/>
      <w:numFmt w:val="bullet"/>
      <w:lvlText w:val=""/>
      <w:lvlJc w:val="left"/>
      <w:pPr>
        <w:ind w:left="1881" w:hanging="420"/>
      </w:pPr>
      <w:rPr>
        <w:rFonts w:ascii="Wingdings" w:hAnsi="Wingdings" w:hint="default"/>
      </w:rPr>
    </w:lvl>
    <w:lvl w:ilvl="1" w:tplc="04090003" w:tentative="1">
      <w:start w:val="1"/>
      <w:numFmt w:val="bullet"/>
      <w:lvlText w:val=""/>
      <w:lvlJc w:val="left"/>
      <w:pPr>
        <w:ind w:left="2301" w:hanging="420"/>
      </w:pPr>
      <w:rPr>
        <w:rFonts w:ascii="Wingdings" w:hAnsi="Wingdings" w:hint="default"/>
      </w:rPr>
    </w:lvl>
    <w:lvl w:ilvl="2" w:tplc="04090005" w:tentative="1">
      <w:start w:val="1"/>
      <w:numFmt w:val="bullet"/>
      <w:lvlText w:val=""/>
      <w:lvlJc w:val="left"/>
      <w:pPr>
        <w:ind w:left="2721" w:hanging="420"/>
      </w:pPr>
      <w:rPr>
        <w:rFonts w:ascii="Wingdings" w:hAnsi="Wingdings" w:hint="default"/>
      </w:rPr>
    </w:lvl>
    <w:lvl w:ilvl="3" w:tplc="04090001" w:tentative="1">
      <w:start w:val="1"/>
      <w:numFmt w:val="bullet"/>
      <w:lvlText w:val=""/>
      <w:lvlJc w:val="left"/>
      <w:pPr>
        <w:ind w:left="3141" w:hanging="420"/>
      </w:pPr>
      <w:rPr>
        <w:rFonts w:ascii="Wingdings" w:hAnsi="Wingdings" w:hint="default"/>
      </w:rPr>
    </w:lvl>
    <w:lvl w:ilvl="4" w:tplc="04090003" w:tentative="1">
      <w:start w:val="1"/>
      <w:numFmt w:val="bullet"/>
      <w:lvlText w:val=""/>
      <w:lvlJc w:val="left"/>
      <w:pPr>
        <w:ind w:left="3561" w:hanging="420"/>
      </w:pPr>
      <w:rPr>
        <w:rFonts w:ascii="Wingdings" w:hAnsi="Wingdings" w:hint="default"/>
      </w:rPr>
    </w:lvl>
    <w:lvl w:ilvl="5" w:tplc="04090005" w:tentative="1">
      <w:start w:val="1"/>
      <w:numFmt w:val="bullet"/>
      <w:lvlText w:val=""/>
      <w:lvlJc w:val="left"/>
      <w:pPr>
        <w:ind w:left="3981" w:hanging="420"/>
      </w:pPr>
      <w:rPr>
        <w:rFonts w:ascii="Wingdings" w:hAnsi="Wingdings" w:hint="default"/>
      </w:rPr>
    </w:lvl>
    <w:lvl w:ilvl="6" w:tplc="04090001" w:tentative="1">
      <w:start w:val="1"/>
      <w:numFmt w:val="bullet"/>
      <w:lvlText w:val=""/>
      <w:lvlJc w:val="left"/>
      <w:pPr>
        <w:ind w:left="4401" w:hanging="420"/>
      </w:pPr>
      <w:rPr>
        <w:rFonts w:ascii="Wingdings" w:hAnsi="Wingdings" w:hint="default"/>
      </w:rPr>
    </w:lvl>
    <w:lvl w:ilvl="7" w:tplc="04090003" w:tentative="1">
      <w:start w:val="1"/>
      <w:numFmt w:val="bullet"/>
      <w:lvlText w:val=""/>
      <w:lvlJc w:val="left"/>
      <w:pPr>
        <w:ind w:left="4821" w:hanging="420"/>
      </w:pPr>
      <w:rPr>
        <w:rFonts w:ascii="Wingdings" w:hAnsi="Wingdings" w:hint="default"/>
      </w:rPr>
    </w:lvl>
    <w:lvl w:ilvl="8" w:tplc="04090005" w:tentative="1">
      <w:start w:val="1"/>
      <w:numFmt w:val="bullet"/>
      <w:lvlText w:val=""/>
      <w:lvlJc w:val="left"/>
      <w:pPr>
        <w:ind w:left="5241" w:hanging="420"/>
      </w:pPr>
      <w:rPr>
        <w:rFonts w:ascii="Wingdings" w:hAnsi="Wingdings" w:hint="default"/>
      </w:rPr>
    </w:lvl>
  </w:abstractNum>
  <w:abstractNum w:abstractNumId="3" w15:restartNumberingAfterBreak="0">
    <w:nsid w:val="78FC1AE5"/>
    <w:multiLevelType w:val="hybridMultilevel"/>
    <w:tmpl w:val="D410FA2E"/>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4" w15:restartNumberingAfterBreak="0">
    <w:nsid w:val="7F792564"/>
    <w:multiLevelType w:val="hybridMultilevel"/>
    <w:tmpl w:val="B14AE220"/>
    <w:lvl w:ilvl="0" w:tplc="F6EAF45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54660710">
    <w:abstractNumId w:val="4"/>
  </w:num>
  <w:num w:numId="2" w16cid:durableId="362051020">
    <w:abstractNumId w:val="1"/>
  </w:num>
  <w:num w:numId="3" w16cid:durableId="1150947203">
    <w:abstractNumId w:val="0"/>
  </w:num>
  <w:num w:numId="4" w16cid:durableId="1726949749">
    <w:abstractNumId w:val="3"/>
  </w:num>
  <w:num w:numId="5" w16cid:durableId="641812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oNotTrackMoves/>
  <w:defaultTabStop w:val="720"/>
  <w:characterSpacingControl w:val="doNotCompres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05BEF"/>
    <w:rsid w:val="00031231"/>
    <w:rsid w:val="0003479A"/>
    <w:rsid w:val="000558D2"/>
    <w:rsid w:val="00055C97"/>
    <w:rsid w:val="00062D5F"/>
    <w:rsid w:val="000807F5"/>
    <w:rsid w:val="00094C9F"/>
    <w:rsid w:val="000A0AA6"/>
    <w:rsid w:val="000C06CC"/>
    <w:rsid w:val="000C2A36"/>
    <w:rsid w:val="000C2F50"/>
    <w:rsid w:val="000F1D19"/>
    <w:rsid w:val="000F26C7"/>
    <w:rsid w:val="001254E0"/>
    <w:rsid w:val="00157835"/>
    <w:rsid w:val="00170AB7"/>
    <w:rsid w:val="00183ABC"/>
    <w:rsid w:val="001B226D"/>
    <w:rsid w:val="002106B0"/>
    <w:rsid w:val="00216EB0"/>
    <w:rsid w:val="002421F3"/>
    <w:rsid w:val="00266E75"/>
    <w:rsid w:val="00295FB5"/>
    <w:rsid w:val="002C015B"/>
    <w:rsid w:val="002E6C43"/>
    <w:rsid w:val="00305BEF"/>
    <w:rsid w:val="00326BF8"/>
    <w:rsid w:val="00340726"/>
    <w:rsid w:val="00366840"/>
    <w:rsid w:val="003B1D3D"/>
    <w:rsid w:val="003D5242"/>
    <w:rsid w:val="0041035A"/>
    <w:rsid w:val="0044031C"/>
    <w:rsid w:val="00447B5B"/>
    <w:rsid w:val="004510B1"/>
    <w:rsid w:val="00452EFC"/>
    <w:rsid w:val="004677F3"/>
    <w:rsid w:val="00485A78"/>
    <w:rsid w:val="004943E0"/>
    <w:rsid w:val="004B3C0B"/>
    <w:rsid w:val="004E1065"/>
    <w:rsid w:val="004F5CD5"/>
    <w:rsid w:val="00530024"/>
    <w:rsid w:val="00543B4E"/>
    <w:rsid w:val="00574EDB"/>
    <w:rsid w:val="005B1DF8"/>
    <w:rsid w:val="005F41FC"/>
    <w:rsid w:val="0061322E"/>
    <w:rsid w:val="00622F9E"/>
    <w:rsid w:val="00661C01"/>
    <w:rsid w:val="006D2B17"/>
    <w:rsid w:val="006F10C3"/>
    <w:rsid w:val="00714DD3"/>
    <w:rsid w:val="0073176B"/>
    <w:rsid w:val="00750208"/>
    <w:rsid w:val="00795156"/>
    <w:rsid w:val="007A4436"/>
    <w:rsid w:val="007D56F3"/>
    <w:rsid w:val="007F5A67"/>
    <w:rsid w:val="00807EC3"/>
    <w:rsid w:val="00864C9C"/>
    <w:rsid w:val="00865F24"/>
    <w:rsid w:val="00866823"/>
    <w:rsid w:val="00877294"/>
    <w:rsid w:val="008F1665"/>
    <w:rsid w:val="00926C92"/>
    <w:rsid w:val="00961CE8"/>
    <w:rsid w:val="00987935"/>
    <w:rsid w:val="00990569"/>
    <w:rsid w:val="00997077"/>
    <w:rsid w:val="009B6B3E"/>
    <w:rsid w:val="009B7F91"/>
    <w:rsid w:val="009E70E1"/>
    <w:rsid w:val="009F4F51"/>
    <w:rsid w:val="00A2601E"/>
    <w:rsid w:val="00A446DB"/>
    <w:rsid w:val="00A61996"/>
    <w:rsid w:val="00A62098"/>
    <w:rsid w:val="00AC654A"/>
    <w:rsid w:val="00AF69A8"/>
    <w:rsid w:val="00B20DE6"/>
    <w:rsid w:val="00B23F2C"/>
    <w:rsid w:val="00B530BA"/>
    <w:rsid w:val="00B9219E"/>
    <w:rsid w:val="00BA6DB5"/>
    <w:rsid w:val="00BE16A4"/>
    <w:rsid w:val="00C172D3"/>
    <w:rsid w:val="00C46304"/>
    <w:rsid w:val="00C93278"/>
    <w:rsid w:val="00CD1D40"/>
    <w:rsid w:val="00D12A96"/>
    <w:rsid w:val="00D176AB"/>
    <w:rsid w:val="00D20951"/>
    <w:rsid w:val="00D20B7D"/>
    <w:rsid w:val="00D26097"/>
    <w:rsid w:val="00D52A14"/>
    <w:rsid w:val="00D8260F"/>
    <w:rsid w:val="00D837AC"/>
    <w:rsid w:val="00D90024"/>
    <w:rsid w:val="00DB6101"/>
    <w:rsid w:val="00DC563B"/>
    <w:rsid w:val="00DF3A83"/>
    <w:rsid w:val="00E2769D"/>
    <w:rsid w:val="00E76621"/>
    <w:rsid w:val="00E77000"/>
    <w:rsid w:val="00EB2DF9"/>
    <w:rsid w:val="00EF0356"/>
    <w:rsid w:val="00F05872"/>
    <w:rsid w:val="00F26A3A"/>
    <w:rsid w:val="00F4051C"/>
    <w:rsid w:val="00F679D2"/>
    <w:rsid w:val="00F71C65"/>
    <w:rsid w:val="00F9515A"/>
    <w:rsid w:val="00F972EB"/>
    <w:rsid w:val="00FC0F73"/>
    <w:rsid w:val="00FC74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18CFE85D"/>
  <w15:docId w15:val="{BB99477A-C02E-450B-9A26-65D818A66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B6B3E"/>
    <w:pPr>
      <w:spacing w:after="200" w:line="276" w:lineRule="auto"/>
    </w:pPr>
    <w:rPr>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rsid w:val="00305BEF"/>
    <w:rPr>
      <w:rFonts w:cs="Times New Roman"/>
      <w:color w:val="0000FF"/>
      <w:u w:val="single"/>
    </w:rPr>
  </w:style>
  <w:style w:type="paragraph" w:styleId="a4">
    <w:name w:val="footnote text"/>
    <w:basedOn w:val="a"/>
    <w:link w:val="a5"/>
    <w:uiPriority w:val="99"/>
    <w:semiHidden/>
    <w:rsid w:val="00305BEF"/>
    <w:pPr>
      <w:spacing w:after="0" w:line="240" w:lineRule="auto"/>
    </w:pPr>
    <w:rPr>
      <w:sz w:val="20"/>
      <w:szCs w:val="20"/>
    </w:rPr>
  </w:style>
  <w:style w:type="character" w:customStyle="1" w:styleId="a5">
    <w:name w:val="脚注文本 字符"/>
    <w:link w:val="a4"/>
    <w:uiPriority w:val="99"/>
    <w:semiHidden/>
    <w:locked/>
    <w:rsid w:val="00305BEF"/>
    <w:rPr>
      <w:rFonts w:cs="Times New Roman"/>
      <w:sz w:val="20"/>
      <w:szCs w:val="20"/>
    </w:rPr>
  </w:style>
  <w:style w:type="character" w:styleId="a6">
    <w:name w:val="footnote reference"/>
    <w:uiPriority w:val="99"/>
    <w:semiHidden/>
    <w:rsid w:val="00305BEF"/>
    <w:rPr>
      <w:rFonts w:cs="Times New Roman"/>
      <w:vertAlign w:val="superscript"/>
    </w:rPr>
  </w:style>
  <w:style w:type="paragraph" w:styleId="a7">
    <w:name w:val="header"/>
    <w:basedOn w:val="a"/>
    <w:link w:val="a8"/>
    <w:uiPriority w:val="99"/>
    <w:rsid w:val="00C172D3"/>
    <w:pPr>
      <w:tabs>
        <w:tab w:val="center" w:pos="4320"/>
        <w:tab w:val="right" w:pos="8640"/>
      </w:tabs>
    </w:pPr>
  </w:style>
  <w:style w:type="character" w:customStyle="1" w:styleId="a8">
    <w:name w:val="页眉 字符"/>
    <w:link w:val="a7"/>
    <w:uiPriority w:val="99"/>
    <w:semiHidden/>
    <w:rsid w:val="00A44499"/>
    <w:rPr>
      <w:lang w:eastAsia="en-US"/>
    </w:rPr>
  </w:style>
  <w:style w:type="paragraph" w:styleId="a9">
    <w:name w:val="footer"/>
    <w:basedOn w:val="a"/>
    <w:link w:val="aa"/>
    <w:uiPriority w:val="99"/>
    <w:rsid w:val="00C172D3"/>
    <w:pPr>
      <w:tabs>
        <w:tab w:val="center" w:pos="4320"/>
        <w:tab w:val="right" w:pos="8640"/>
      </w:tabs>
    </w:pPr>
  </w:style>
  <w:style w:type="character" w:customStyle="1" w:styleId="aa">
    <w:name w:val="页脚 字符"/>
    <w:link w:val="a9"/>
    <w:uiPriority w:val="99"/>
    <w:semiHidden/>
    <w:rsid w:val="00A44499"/>
    <w:rPr>
      <w:lang w:eastAsia="en-US"/>
    </w:rPr>
  </w:style>
  <w:style w:type="character" w:styleId="ab">
    <w:name w:val="FollowedHyperlink"/>
    <w:uiPriority w:val="99"/>
    <w:semiHidden/>
    <w:unhideWhenUsed/>
    <w:rsid w:val="00A62098"/>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3642112">
      <w:bodyDiv w:val="1"/>
      <w:marLeft w:val="0"/>
      <w:marRight w:val="0"/>
      <w:marTop w:val="0"/>
      <w:marBottom w:val="0"/>
      <w:divBdr>
        <w:top w:val="none" w:sz="0" w:space="0" w:color="auto"/>
        <w:left w:val="none" w:sz="0" w:space="0" w:color="auto"/>
        <w:bottom w:val="none" w:sz="0" w:space="0" w:color="auto"/>
        <w:right w:val="none" w:sz="0" w:space="0" w:color="auto"/>
      </w:divBdr>
      <w:divsChild>
        <w:div w:id="211232415">
          <w:marLeft w:val="0"/>
          <w:marRight w:val="0"/>
          <w:marTop w:val="0"/>
          <w:marBottom w:val="0"/>
          <w:divBdr>
            <w:top w:val="none" w:sz="0" w:space="0" w:color="auto"/>
            <w:left w:val="none" w:sz="0" w:space="0" w:color="auto"/>
            <w:bottom w:val="none" w:sz="0" w:space="0" w:color="auto"/>
            <w:right w:val="none" w:sz="0" w:space="0" w:color="auto"/>
          </w:divBdr>
        </w:div>
        <w:div w:id="883100221">
          <w:marLeft w:val="0"/>
          <w:marRight w:val="0"/>
          <w:marTop w:val="0"/>
          <w:marBottom w:val="0"/>
          <w:divBdr>
            <w:top w:val="none" w:sz="0" w:space="0" w:color="auto"/>
            <w:left w:val="none" w:sz="0" w:space="0" w:color="auto"/>
            <w:bottom w:val="none" w:sz="0" w:space="0" w:color="auto"/>
            <w:right w:val="none" w:sz="0" w:space="0" w:color="auto"/>
          </w:divBdr>
        </w:div>
        <w:div w:id="1323659823">
          <w:marLeft w:val="0"/>
          <w:marRight w:val="0"/>
          <w:marTop w:val="0"/>
          <w:marBottom w:val="0"/>
          <w:divBdr>
            <w:top w:val="none" w:sz="0" w:space="0" w:color="auto"/>
            <w:left w:val="none" w:sz="0" w:space="0" w:color="auto"/>
            <w:bottom w:val="none" w:sz="0" w:space="0" w:color="auto"/>
            <w:right w:val="none" w:sz="0" w:space="0" w:color="auto"/>
          </w:divBdr>
        </w:div>
      </w:divsChild>
    </w:div>
    <w:div w:id="687147596">
      <w:bodyDiv w:val="1"/>
      <w:marLeft w:val="0"/>
      <w:marRight w:val="0"/>
      <w:marTop w:val="0"/>
      <w:marBottom w:val="0"/>
      <w:divBdr>
        <w:top w:val="none" w:sz="0" w:space="0" w:color="auto"/>
        <w:left w:val="none" w:sz="0" w:space="0" w:color="auto"/>
        <w:bottom w:val="none" w:sz="0" w:space="0" w:color="auto"/>
        <w:right w:val="none" w:sz="0" w:space="0" w:color="auto"/>
      </w:divBdr>
    </w:div>
    <w:div w:id="2048294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csb.gov/videos/anatomy-of-a-disast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268</TotalTime>
  <Pages>5</Pages>
  <Words>1250</Words>
  <Characters>7129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J.D. Brown</dc:creator>
  <cp:keywords/>
  <dc:description/>
  <cp:lastModifiedBy>刘 欣宇</cp:lastModifiedBy>
  <cp:revision>74</cp:revision>
  <dcterms:created xsi:type="dcterms:W3CDTF">2019-09-13T13:57:00Z</dcterms:created>
  <dcterms:modified xsi:type="dcterms:W3CDTF">2022-09-15T13:25:00Z</dcterms:modified>
</cp:coreProperties>
</file>