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304" w:rsidRDefault="00114304" w:rsidP="00114304">
      <w:pPr>
        <w:jc w:val="right"/>
      </w:pPr>
      <w:r>
        <w:t>Name _________________________________________</w:t>
      </w:r>
    </w:p>
    <w:p w:rsidR="001A2409" w:rsidRDefault="001A2409">
      <w:r w:rsidRPr="00114304">
        <w:rPr>
          <w:rFonts w:ascii="Times New Roman" w:hAnsi="Times New Roman" w:cs="Times New Roman"/>
        </w:rPr>
        <w:t xml:space="preserve">The storage tank system shown </w:t>
      </w:r>
      <w:r w:rsidR="004D136D" w:rsidRPr="00114304">
        <w:rPr>
          <w:rFonts w:ascii="Times New Roman" w:hAnsi="Times New Roman" w:cs="Times New Roman"/>
        </w:rPr>
        <w:t>below</w:t>
      </w:r>
      <w:r w:rsidRPr="00114304">
        <w:rPr>
          <w:rFonts w:ascii="Times New Roman" w:hAnsi="Times New Roman" w:cs="Times New Roman"/>
        </w:rPr>
        <w:t xml:space="preserve"> is used to store process feedstock. Overfilling of storage tanks is a common problem in the process industries. To prevent overfilling, the storage tank is equipped with a high-level alarm and a high-level shutdown  system. The high-level shutdown system is connected to a solenoid valve that stops the flow of input stock.</w:t>
      </w:r>
    </w:p>
    <w:p w:rsidR="001A2409" w:rsidRDefault="001A2409" w:rsidP="001A2409">
      <w:pPr>
        <w:jc w:val="center"/>
      </w:pPr>
      <w:r w:rsidRPr="00EF3A7D">
        <w:rPr>
          <w:noProof/>
        </w:rPr>
        <w:drawing>
          <wp:inline distT="0" distB="0" distL="0" distR="0" wp14:anchorId="6F399765" wp14:editId="0F71FD26">
            <wp:extent cx="3686175" cy="1152525"/>
            <wp:effectExtent l="0" t="0" r="0" b="0"/>
            <wp:docPr id="7" name="Picture 7" descr="pg589_fig_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g589_fig_2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409" w:rsidRDefault="001A2409" w:rsidP="001A2409">
      <w:pPr>
        <w:jc w:val="center"/>
      </w:pPr>
    </w:p>
    <w:tbl>
      <w:tblPr>
        <w:tblStyle w:val="TableGrid"/>
        <w:tblW w:w="8439" w:type="dxa"/>
        <w:jc w:val="center"/>
        <w:tblLook w:val="04A0" w:firstRow="1" w:lastRow="0" w:firstColumn="1" w:lastColumn="0" w:noHBand="0" w:noVBand="1"/>
      </w:tblPr>
      <w:tblGrid>
        <w:gridCol w:w="2949"/>
        <w:gridCol w:w="1709"/>
        <w:gridCol w:w="1715"/>
        <w:gridCol w:w="2066"/>
      </w:tblGrid>
      <w:tr w:rsidR="001A2409" w:rsidTr="00DA0646">
        <w:trPr>
          <w:trHeight w:val="1102"/>
          <w:jc w:val="center"/>
        </w:trPr>
        <w:tc>
          <w:tcPr>
            <w:tcW w:w="2949" w:type="dxa"/>
          </w:tcPr>
          <w:p w:rsidR="001A2409" w:rsidRPr="00114304" w:rsidRDefault="001A2409" w:rsidP="001E597E">
            <w:pPr>
              <w:rPr>
                <w:rFonts w:ascii="Times New Roman" w:hAnsi="Times New Roman" w:cs="Times New Roman"/>
                <w:b/>
              </w:rPr>
            </w:pPr>
            <w:r w:rsidRPr="00114304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1709" w:type="dxa"/>
          </w:tcPr>
          <w:p w:rsidR="001A2409" w:rsidRPr="00114304" w:rsidRDefault="001A2409" w:rsidP="001A2409">
            <w:pPr>
              <w:jc w:val="center"/>
              <w:rPr>
                <w:rFonts w:ascii="Times New Roman" w:hAnsi="Times New Roman" w:cs="Times New Roman"/>
              </w:rPr>
            </w:pPr>
            <w:r w:rsidRPr="00114304">
              <w:rPr>
                <w:rFonts w:ascii="Times New Roman" w:hAnsi="Times New Roman" w:cs="Times New Roman"/>
              </w:rPr>
              <w:t>Failure Rate</w:t>
            </w:r>
          </w:p>
          <w:p w:rsidR="001A2409" w:rsidRDefault="001A2409" w:rsidP="001A2409">
            <w:pPr>
              <w:jc w:val="center"/>
              <w:rPr>
                <w:rFonts w:ascii="Times New Roman" w:hAnsi="Times New Roman" w:cs="Times New Roman"/>
              </w:rPr>
            </w:pPr>
            <w:r w:rsidRPr="00114304">
              <w:rPr>
                <w:rFonts w:ascii="Times New Roman" w:hAnsi="Times New Roman" w:cs="Times New Roman"/>
              </w:rPr>
              <w:t>Faults/year</w:t>
            </w:r>
          </w:p>
          <w:p w:rsidR="00591F35" w:rsidRPr="00591F35" w:rsidRDefault="00591F35" w:rsidP="001A2409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µ</w:t>
            </w:r>
            <w:r w:rsidRPr="00591F35">
              <w:rPr>
                <w:rFonts w:ascii="Times New Roman" w:hAnsi="Times New Roman" w:cs="Times New Roman"/>
                <w:i/>
                <w:iCs/>
              </w:rPr>
              <w:t>= -ln(R(t)</w:t>
            </w:r>
            <w:r>
              <w:rPr>
                <w:rFonts w:ascii="Times New Roman" w:hAnsi="Times New Roman" w:cs="Times New Roman"/>
                <w:i/>
                <w:iCs/>
              </w:rPr>
              <w:t>)</w:t>
            </w:r>
            <w:bookmarkStart w:id="0" w:name="_GoBack"/>
            <w:bookmarkEnd w:id="0"/>
          </w:p>
        </w:tc>
        <w:tc>
          <w:tcPr>
            <w:tcW w:w="1715" w:type="dxa"/>
          </w:tcPr>
          <w:p w:rsidR="001A2409" w:rsidRPr="00114304" w:rsidRDefault="001A2409" w:rsidP="001A2409">
            <w:pPr>
              <w:jc w:val="center"/>
              <w:rPr>
                <w:rFonts w:ascii="Times New Roman" w:hAnsi="Times New Roman" w:cs="Times New Roman"/>
              </w:rPr>
            </w:pPr>
            <w:r w:rsidRPr="00114304">
              <w:rPr>
                <w:rFonts w:ascii="Times New Roman" w:hAnsi="Times New Roman" w:cs="Times New Roman"/>
              </w:rPr>
              <w:t>Reliability</w:t>
            </w:r>
          </w:p>
          <w:p w:rsidR="001A2409" w:rsidRPr="00114304" w:rsidRDefault="001A2409" w:rsidP="001A240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14304">
              <w:rPr>
                <w:rFonts w:ascii="Times New Roman" w:hAnsi="Times New Roman" w:cs="Times New Roman"/>
                <w:i/>
              </w:rPr>
              <w:t xml:space="preserve">R(t) = e </w:t>
            </w:r>
            <w:r w:rsidRPr="00114304">
              <w:rPr>
                <w:rFonts w:ascii="Times New Roman" w:hAnsi="Times New Roman" w:cs="Times New Roman"/>
                <w:i/>
                <w:vertAlign w:val="superscript"/>
              </w:rPr>
              <w:t>-</w:t>
            </w:r>
            <w:proofErr w:type="spellStart"/>
            <w:r w:rsidRPr="00114304">
              <w:rPr>
                <w:rFonts w:ascii="Times New Roman" w:hAnsi="Times New Roman" w:cs="Times New Roman"/>
                <w:i/>
                <w:vertAlign w:val="superscript"/>
              </w:rPr>
              <w:t>u</w:t>
            </w:r>
            <w:r w:rsidR="00BC6AF3" w:rsidRPr="00114304">
              <w:rPr>
                <w:rFonts w:ascii="Times New Roman" w:hAnsi="Times New Roman" w:cs="Times New Roman"/>
                <w:i/>
                <w:vertAlign w:val="superscript"/>
              </w:rPr>
              <w:t>t</w:t>
            </w:r>
            <w:proofErr w:type="spellEnd"/>
          </w:p>
        </w:tc>
        <w:tc>
          <w:tcPr>
            <w:tcW w:w="2066" w:type="dxa"/>
          </w:tcPr>
          <w:p w:rsidR="001A2409" w:rsidRPr="00114304" w:rsidRDefault="001A2409" w:rsidP="001A2409">
            <w:pPr>
              <w:jc w:val="center"/>
              <w:rPr>
                <w:rFonts w:ascii="Times New Roman" w:hAnsi="Times New Roman" w:cs="Times New Roman"/>
              </w:rPr>
            </w:pPr>
            <w:r w:rsidRPr="00114304">
              <w:rPr>
                <w:rFonts w:ascii="Times New Roman" w:hAnsi="Times New Roman" w:cs="Times New Roman"/>
              </w:rPr>
              <w:t>Probability of Failure</w:t>
            </w:r>
          </w:p>
          <w:p w:rsidR="001A2409" w:rsidRPr="00114304" w:rsidRDefault="001A2409" w:rsidP="001A240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14304">
              <w:rPr>
                <w:rFonts w:ascii="Times New Roman" w:hAnsi="Times New Roman" w:cs="Times New Roman"/>
                <w:i/>
              </w:rPr>
              <w:t>P(t) = 1 – R(t)</w:t>
            </w:r>
          </w:p>
        </w:tc>
      </w:tr>
      <w:tr w:rsidR="001A2409" w:rsidTr="00DA0646">
        <w:trPr>
          <w:trHeight w:val="374"/>
          <w:jc w:val="center"/>
        </w:trPr>
        <w:tc>
          <w:tcPr>
            <w:tcW w:w="2949" w:type="dxa"/>
            <w:vAlign w:val="center"/>
          </w:tcPr>
          <w:p w:rsidR="001A2409" w:rsidRPr="00114304" w:rsidRDefault="001A2409" w:rsidP="00BC6AF3">
            <w:pPr>
              <w:rPr>
                <w:rFonts w:ascii="Times New Roman" w:hAnsi="Times New Roman" w:cs="Times New Roman"/>
              </w:rPr>
            </w:pPr>
            <w:r w:rsidRPr="00114304">
              <w:rPr>
                <w:rFonts w:ascii="Times New Roman" w:hAnsi="Times New Roman" w:cs="Times New Roman"/>
              </w:rPr>
              <w:t>Control Valve</w:t>
            </w:r>
          </w:p>
        </w:tc>
        <w:tc>
          <w:tcPr>
            <w:tcW w:w="1709" w:type="dxa"/>
            <w:vAlign w:val="center"/>
          </w:tcPr>
          <w:p w:rsidR="001A2409" w:rsidRPr="00114304" w:rsidRDefault="001A2409" w:rsidP="00BC6AF3">
            <w:pPr>
              <w:jc w:val="center"/>
              <w:rPr>
                <w:rFonts w:ascii="Times New Roman" w:hAnsi="Times New Roman" w:cs="Times New Roman"/>
              </w:rPr>
            </w:pPr>
            <w:r w:rsidRPr="00114304">
              <w:rPr>
                <w:rFonts w:ascii="Times New Roman" w:hAnsi="Times New Roman" w:cs="Times New Roman"/>
              </w:rPr>
              <w:t>0.60</w:t>
            </w:r>
          </w:p>
        </w:tc>
        <w:tc>
          <w:tcPr>
            <w:tcW w:w="1715" w:type="dxa"/>
            <w:vAlign w:val="center"/>
          </w:tcPr>
          <w:p w:rsidR="001A2409" w:rsidRPr="00114304" w:rsidRDefault="001A2409" w:rsidP="00BC6A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66" w:type="dxa"/>
            <w:vAlign w:val="center"/>
          </w:tcPr>
          <w:p w:rsidR="001A2409" w:rsidRPr="00114304" w:rsidRDefault="001A2409" w:rsidP="00BC6A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A2409" w:rsidTr="00DA0646">
        <w:trPr>
          <w:trHeight w:val="490"/>
          <w:jc w:val="center"/>
        </w:trPr>
        <w:tc>
          <w:tcPr>
            <w:tcW w:w="2949" w:type="dxa"/>
            <w:vAlign w:val="center"/>
          </w:tcPr>
          <w:p w:rsidR="001A2409" w:rsidRPr="00114304" w:rsidRDefault="001A2409" w:rsidP="00BC6AF3">
            <w:pPr>
              <w:rPr>
                <w:rFonts w:ascii="Times New Roman" w:hAnsi="Times New Roman" w:cs="Times New Roman"/>
              </w:rPr>
            </w:pPr>
            <w:r w:rsidRPr="00114304">
              <w:rPr>
                <w:rFonts w:ascii="Times New Roman" w:hAnsi="Times New Roman" w:cs="Times New Roman"/>
              </w:rPr>
              <w:t>Level Measurement</w:t>
            </w:r>
          </w:p>
        </w:tc>
        <w:tc>
          <w:tcPr>
            <w:tcW w:w="1709" w:type="dxa"/>
            <w:vAlign w:val="center"/>
          </w:tcPr>
          <w:p w:rsidR="001A2409" w:rsidRPr="00114304" w:rsidRDefault="001A2409" w:rsidP="00BC6AF3">
            <w:pPr>
              <w:jc w:val="center"/>
              <w:rPr>
                <w:rFonts w:ascii="Times New Roman" w:hAnsi="Times New Roman" w:cs="Times New Roman"/>
              </w:rPr>
            </w:pPr>
            <w:r w:rsidRPr="00114304">
              <w:rPr>
                <w:rFonts w:ascii="Times New Roman" w:hAnsi="Times New Roman" w:cs="Times New Roman"/>
              </w:rPr>
              <w:t>1.70</w:t>
            </w:r>
          </w:p>
        </w:tc>
        <w:tc>
          <w:tcPr>
            <w:tcW w:w="1715" w:type="dxa"/>
            <w:vAlign w:val="center"/>
          </w:tcPr>
          <w:p w:rsidR="001A2409" w:rsidRPr="00114304" w:rsidRDefault="001A2409" w:rsidP="00BC6A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66" w:type="dxa"/>
            <w:vAlign w:val="center"/>
          </w:tcPr>
          <w:p w:rsidR="001A2409" w:rsidRPr="00114304" w:rsidRDefault="001A2409" w:rsidP="00BC6A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14304" w:rsidTr="00DA0646">
        <w:trPr>
          <w:trHeight w:val="490"/>
          <w:jc w:val="center"/>
        </w:trPr>
        <w:tc>
          <w:tcPr>
            <w:tcW w:w="2949" w:type="dxa"/>
            <w:vAlign w:val="center"/>
          </w:tcPr>
          <w:p w:rsidR="00114304" w:rsidRPr="00114304" w:rsidRDefault="00114304" w:rsidP="00BC6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Flow Measurement </w:t>
            </w:r>
          </w:p>
        </w:tc>
        <w:tc>
          <w:tcPr>
            <w:tcW w:w="1709" w:type="dxa"/>
            <w:vAlign w:val="center"/>
          </w:tcPr>
          <w:p w:rsidR="00114304" w:rsidRPr="00114304" w:rsidRDefault="00114304" w:rsidP="00BC6A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1715" w:type="dxa"/>
            <w:vAlign w:val="center"/>
          </w:tcPr>
          <w:p w:rsidR="00114304" w:rsidRPr="00114304" w:rsidRDefault="00114304" w:rsidP="00BC6A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66" w:type="dxa"/>
            <w:vAlign w:val="center"/>
          </w:tcPr>
          <w:p w:rsidR="00114304" w:rsidRPr="00114304" w:rsidRDefault="00114304" w:rsidP="00BC6A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B3806" w:rsidTr="00DA0646">
        <w:trPr>
          <w:trHeight w:val="490"/>
          <w:jc w:val="center"/>
        </w:trPr>
        <w:tc>
          <w:tcPr>
            <w:tcW w:w="2949" w:type="dxa"/>
            <w:vAlign w:val="center"/>
          </w:tcPr>
          <w:p w:rsidR="005B3806" w:rsidRDefault="005B3806" w:rsidP="00BC6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Switch (FIC)</w:t>
            </w:r>
          </w:p>
        </w:tc>
        <w:tc>
          <w:tcPr>
            <w:tcW w:w="1709" w:type="dxa"/>
            <w:vAlign w:val="center"/>
          </w:tcPr>
          <w:p w:rsidR="005B3806" w:rsidRDefault="005B3806" w:rsidP="00BC6A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1715" w:type="dxa"/>
            <w:vAlign w:val="center"/>
          </w:tcPr>
          <w:p w:rsidR="005B3806" w:rsidRDefault="005B3806" w:rsidP="00BC6A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66" w:type="dxa"/>
            <w:vAlign w:val="center"/>
          </w:tcPr>
          <w:p w:rsidR="005B3806" w:rsidRDefault="005B3806" w:rsidP="00BC6A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A2409" w:rsidTr="00DA0646">
        <w:trPr>
          <w:trHeight w:val="374"/>
          <w:jc w:val="center"/>
        </w:trPr>
        <w:tc>
          <w:tcPr>
            <w:tcW w:w="2949" w:type="dxa"/>
            <w:vAlign w:val="center"/>
          </w:tcPr>
          <w:p w:rsidR="001A2409" w:rsidRPr="00114304" w:rsidRDefault="001A2409" w:rsidP="00BC6AF3">
            <w:pPr>
              <w:rPr>
                <w:rFonts w:ascii="Times New Roman" w:hAnsi="Times New Roman" w:cs="Times New Roman"/>
              </w:rPr>
            </w:pPr>
            <w:r w:rsidRPr="00114304">
              <w:rPr>
                <w:rFonts w:ascii="Times New Roman" w:hAnsi="Times New Roman" w:cs="Times New Roman"/>
              </w:rPr>
              <w:t>Strip Chart</w:t>
            </w:r>
          </w:p>
        </w:tc>
        <w:tc>
          <w:tcPr>
            <w:tcW w:w="1709" w:type="dxa"/>
            <w:vAlign w:val="center"/>
          </w:tcPr>
          <w:p w:rsidR="001A2409" w:rsidRPr="00114304" w:rsidRDefault="001A2409" w:rsidP="00BC6AF3">
            <w:pPr>
              <w:jc w:val="center"/>
              <w:rPr>
                <w:rFonts w:ascii="Times New Roman" w:hAnsi="Times New Roman" w:cs="Times New Roman"/>
              </w:rPr>
            </w:pPr>
            <w:r w:rsidRPr="00114304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15" w:type="dxa"/>
            <w:vAlign w:val="center"/>
          </w:tcPr>
          <w:p w:rsidR="001A2409" w:rsidRPr="00114304" w:rsidRDefault="001A2409" w:rsidP="00BC6A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66" w:type="dxa"/>
            <w:vAlign w:val="center"/>
          </w:tcPr>
          <w:p w:rsidR="001A2409" w:rsidRPr="00114304" w:rsidRDefault="001A2409" w:rsidP="00BC6A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A2409" w:rsidTr="00DA0646">
        <w:trPr>
          <w:trHeight w:val="353"/>
          <w:jc w:val="center"/>
        </w:trPr>
        <w:tc>
          <w:tcPr>
            <w:tcW w:w="2949" w:type="dxa"/>
            <w:vAlign w:val="center"/>
          </w:tcPr>
          <w:p w:rsidR="001A2409" w:rsidRPr="00114304" w:rsidRDefault="001A2409" w:rsidP="00BC6AF3">
            <w:pPr>
              <w:rPr>
                <w:rFonts w:ascii="Times New Roman" w:hAnsi="Times New Roman" w:cs="Times New Roman"/>
              </w:rPr>
            </w:pPr>
            <w:r w:rsidRPr="00114304">
              <w:rPr>
                <w:rFonts w:ascii="Times New Roman" w:hAnsi="Times New Roman" w:cs="Times New Roman"/>
              </w:rPr>
              <w:t xml:space="preserve">Indicator </w:t>
            </w:r>
            <w:r w:rsidR="00114304">
              <w:rPr>
                <w:rFonts w:ascii="Times New Roman" w:hAnsi="Times New Roman" w:cs="Times New Roman"/>
              </w:rPr>
              <w:t xml:space="preserve">Alarm </w:t>
            </w:r>
            <w:r w:rsidRPr="00114304">
              <w:rPr>
                <w:rFonts w:ascii="Times New Roman" w:hAnsi="Times New Roman" w:cs="Times New Roman"/>
              </w:rPr>
              <w:t>Lamp</w:t>
            </w:r>
          </w:p>
        </w:tc>
        <w:tc>
          <w:tcPr>
            <w:tcW w:w="1709" w:type="dxa"/>
            <w:vAlign w:val="center"/>
          </w:tcPr>
          <w:p w:rsidR="001A2409" w:rsidRPr="00114304" w:rsidRDefault="001A2409" w:rsidP="00BC6AF3">
            <w:pPr>
              <w:jc w:val="center"/>
              <w:rPr>
                <w:rFonts w:ascii="Times New Roman" w:hAnsi="Times New Roman" w:cs="Times New Roman"/>
              </w:rPr>
            </w:pPr>
            <w:r w:rsidRPr="00114304">
              <w:rPr>
                <w:rFonts w:ascii="Times New Roman" w:hAnsi="Times New Roman" w:cs="Times New Roman"/>
              </w:rPr>
              <w:t>0.044</w:t>
            </w:r>
          </w:p>
        </w:tc>
        <w:tc>
          <w:tcPr>
            <w:tcW w:w="1715" w:type="dxa"/>
            <w:vAlign w:val="center"/>
          </w:tcPr>
          <w:p w:rsidR="001A2409" w:rsidRPr="00114304" w:rsidRDefault="001A2409" w:rsidP="00BC6A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66" w:type="dxa"/>
            <w:vAlign w:val="center"/>
          </w:tcPr>
          <w:p w:rsidR="001A2409" w:rsidRPr="00114304" w:rsidRDefault="001A2409" w:rsidP="00BC6A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A2409" w:rsidTr="00DA0646">
        <w:trPr>
          <w:trHeight w:val="374"/>
          <w:jc w:val="center"/>
        </w:trPr>
        <w:tc>
          <w:tcPr>
            <w:tcW w:w="2949" w:type="dxa"/>
            <w:vAlign w:val="center"/>
          </w:tcPr>
          <w:p w:rsidR="001A2409" w:rsidRPr="00114304" w:rsidRDefault="001A2409" w:rsidP="00BC6AF3">
            <w:pPr>
              <w:rPr>
                <w:rFonts w:ascii="Times New Roman" w:hAnsi="Times New Roman" w:cs="Times New Roman"/>
              </w:rPr>
            </w:pPr>
            <w:r w:rsidRPr="00114304">
              <w:rPr>
                <w:rFonts w:ascii="Times New Roman" w:hAnsi="Times New Roman" w:cs="Times New Roman"/>
              </w:rPr>
              <w:t>Solenoid Valve</w:t>
            </w:r>
          </w:p>
        </w:tc>
        <w:tc>
          <w:tcPr>
            <w:tcW w:w="1709" w:type="dxa"/>
            <w:vAlign w:val="center"/>
          </w:tcPr>
          <w:p w:rsidR="001A2409" w:rsidRPr="00114304" w:rsidRDefault="001A2409" w:rsidP="00BC6AF3">
            <w:pPr>
              <w:jc w:val="center"/>
              <w:rPr>
                <w:rFonts w:ascii="Times New Roman" w:hAnsi="Times New Roman" w:cs="Times New Roman"/>
              </w:rPr>
            </w:pPr>
            <w:r w:rsidRPr="00114304">
              <w:rPr>
                <w:rFonts w:ascii="Times New Roman" w:hAnsi="Times New Roman" w:cs="Times New Roman"/>
              </w:rPr>
              <w:t>0.42</w:t>
            </w:r>
          </w:p>
        </w:tc>
        <w:tc>
          <w:tcPr>
            <w:tcW w:w="1715" w:type="dxa"/>
            <w:vAlign w:val="center"/>
          </w:tcPr>
          <w:p w:rsidR="001A2409" w:rsidRPr="00114304" w:rsidRDefault="001A2409" w:rsidP="00BC6A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66" w:type="dxa"/>
            <w:vAlign w:val="center"/>
          </w:tcPr>
          <w:p w:rsidR="001A2409" w:rsidRPr="00114304" w:rsidRDefault="001A2409" w:rsidP="00BC6A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027FFB" w:rsidTr="00DA0646">
        <w:trPr>
          <w:trHeight w:val="374"/>
          <w:jc w:val="center"/>
        </w:trPr>
        <w:tc>
          <w:tcPr>
            <w:tcW w:w="2949" w:type="dxa"/>
            <w:vAlign w:val="center"/>
          </w:tcPr>
          <w:p w:rsidR="00027FFB" w:rsidRPr="00114304" w:rsidRDefault="00027FFB" w:rsidP="00BC6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Storage Tank</w:t>
            </w:r>
            <w:r w:rsidR="005B3806">
              <w:rPr>
                <w:rFonts w:ascii="Times New Roman" w:hAnsi="Times New Roman" w:cs="Times New Roman"/>
              </w:rPr>
              <w:t xml:space="preserve"> (leak)</w:t>
            </w:r>
          </w:p>
        </w:tc>
        <w:tc>
          <w:tcPr>
            <w:tcW w:w="1709" w:type="dxa"/>
            <w:vAlign w:val="center"/>
          </w:tcPr>
          <w:p w:rsidR="00027FFB" w:rsidRPr="00114304" w:rsidRDefault="005B3806" w:rsidP="00BC6A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0.0086</w:t>
            </w:r>
          </w:p>
        </w:tc>
        <w:tc>
          <w:tcPr>
            <w:tcW w:w="1715" w:type="dxa"/>
            <w:vAlign w:val="center"/>
          </w:tcPr>
          <w:p w:rsidR="00027FFB" w:rsidRPr="00114304" w:rsidRDefault="00027FFB" w:rsidP="00BC6A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66" w:type="dxa"/>
            <w:vAlign w:val="center"/>
          </w:tcPr>
          <w:p w:rsidR="00027FFB" w:rsidRPr="00114304" w:rsidRDefault="00027FFB" w:rsidP="00BC6AF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DA0646" w:rsidRDefault="00DA0646" w:rsidP="00DA0646">
      <w:pPr>
        <w:pStyle w:val="NLB"/>
        <w:tabs>
          <w:tab w:val="clear" w:pos="720"/>
        </w:tabs>
        <w:ind w:left="0"/>
      </w:pPr>
    </w:p>
    <w:p w:rsidR="006434F9" w:rsidRDefault="00502728" w:rsidP="00DA0646">
      <w:pPr>
        <w:pStyle w:val="NLB"/>
        <w:tabs>
          <w:tab w:val="clear" w:pos="720"/>
        </w:tabs>
        <w:ind w:left="0"/>
      </w:pPr>
      <w:r>
        <w:t xml:space="preserve">What is the probability that the Solenoid Valve, Control Valve, and the </w:t>
      </w:r>
      <w:r w:rsidR="00656357">
        <w:t>Level Indicator Alarm (comprised of the level measurement and alarm lamp)</w:t>
      </w:r>
      <w:r>
        <w:t xml:space="preserve"> will all fail together?  What would be the failure rate </w:t>
      </w:r>
      <w:r w:rsidR="00656357">
        <w:t xml:space="preserve">and MTBF </w:t>
      </w:r>
      <w:r>
        <w:t>of this event?</w:t>
      </w:r>
    </w:p>
    <w:p w:rsidR="0017494C" w:rsidRDefault="0017494C" w:rsidP="00DA0646">
      <w:pPr>
        <w:pStyle w:val="NLB"/>
        <w:tabs>
          <w:tab w:val="clear" w:pos="720"/>
        </w:tabs>
        <w:ind w:left="0"/>
      </w:pPr>
    </w:p>
    <w:sectPr w:rsidR="0017494C" w:rsidSect="00CF547F">
      <w:headerReference w:type="default" r:id="rId8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304" w:rsidRDefault="00114304" w:rsidP="00114304">
      <w:pPr>
        <w:spacing w:after="0" w:line="240" w:lineRule="auto"/>
      </w:pPr>
      <w:r>
        <w:separator/>
      </w:r>
    </w:p>
  </w:endnote>
  <w:endnote w:type="continuationSeparator" w:id="0">
    <w:p w:rsidR="00114304" w:rsidRDefault="00114304" w:rsidP="0011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304" w:rsidRDefault="00114304" w:rsidP="00114304">
      <w:pPr>
        <w:spacing w:after="0" w:line="240" w:lineRule="auto"/>
      </w:pPr>
      <w:r>
        <w:separator/>
      </w:r>
    </w:p>
  </w:footnote>
  <w:footnote w:type="continuationSeparator" w:id="0">
    <w:p w:rsidR="00114304" w:rsidRDefault="00114304" w:rsidP="00114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304" w:rsidRDefault="00114304" w:rsidP="00114304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0"/>
      </w:rPr>
    </w:pPr>
    <w:r w:rsidRPr="00114304">
      <w:rPr>
        <w:rFonts w:ascii="Times New Roman" w:hAnsi="Times New Roman" w:cs="Times New Roman"/>
        <w:sz w:val="20"/>
      </w:rPr>
      <w:tab/>
    </w:r>
    <w:r w:rsidRPr="00114304">
      <w:rPr>
        <w:rFonts w:ascii="Times New Roman" w:hAnsi="Times New Roman" w:cs="Times New Roman"/>
        <w:sz w:val="20"/>
      </w:rPr>
      <w:tab/>
      <w:t>Equipment Reliability</w:t>
    </w:r>
  </w:p>
  <w:p w:rsidR="00114304" w:rsidRPr="00114304" w:rsidRDefault="00114304" w:rsidP="00114304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0"/>
      </w:rPr>
    </w:pPr>
    <w:r w:rsidRPr="00114304">
      <w:rPr>
        <w:rFonts w:ascii="Times New Roman" w:hAnsi="Times New Roman" w:cs="Times New Roman"/>
        <w:sz w:val="20"/>
      </w:rPr>
      <w:t xml:space="preserve">FPST 4333 System and Process Safety Analysis </w:t>
    </w:r>
    <w:r>
      <w:rPr>
        <w:rFonts w:ascii="Times New Roman" w:hAnsi="Times New Roman" w:cs="Times New Roman"/>
        <w:sz w:val="20"/>
      </w:rPr>
      <w:tab/>
    </w:r>
    <w:r>
      <w:rPr>
        <w:rFonts w:ascii="Times New Roman" w:hAnsi="Times New Roman" w:cs="Times New Roman"/>
        <w:sz w:val="20"/>
      </w:rPr>
      <w:tab/>
    </w:r>
    <w:r w:rsidRPr="00114304">
      <w:rPr>
        <w:rFonts w:ascii="Times New Roman" w:hAnsi="Times New Roman" w:cs="Times New Roman"/>
        <w:sz w:val="20"/>
      </w:rPr>
      <w:t>Practice Problems</w:t>
    </w:r>
  </w:p>
  <w:p w:rsidR="00114304" w:rsidRDefault="001143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96B2E"/>
    <w:multiLevelType w:val="hybridMultilevel"/>
    <w:tmpl w:val="F9EA264E"/>
    <w:lvl w:ilvl="0" w:tplc="E83E33E2">
      <w:start w:val="1"/>
      <w:numFmt w:val="lowerLetter"/>
      <w:lvlText w:val="%1."/>
      <w:lvlJc w:val="left"/>
      <w:pPr>
        <w:ind w:left="23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0NLc0MzEzszS3MDJW0lEKTi0uzszPAykwrAUAYps39SwAAAA="/>
  </w:docVars>
  <w:rsids>
    <w:rsidRoot w:val="001A2409"/>
    <w:rsid w:val="00027FFB"/>
    <w:rsid w:val="00114304"/>
    <w:rsid w:val="0017494C"/>
    <w:rsid w:val="001A2409"/>
    <w:rsid w:val="001B1716"/>
    <w:rsid w:val="001E597E"/>
    <w:rsid w:val="004D136D"/>
    <w:rsid w:val="00502728"/>
    <w:rsid w:val="005403DC"/>
    <w:rsid w:val="00591F35"/>
    <w:rsid w:val="005B3806"/>
    <w:rsid w:val="0061566E"/>
    <w:rsid w:val="006434F9"/>
    <w:rsid w:val="00656357"/>
    <w:rsid w:val="00722329"/>
    <w:rsid w:val="00863974"/>
    <w:rsid w:val="00BC6AF3"/>
    <w:rsid w:val="00CB414C"/>
    <w:rsid w:val="00CF547F"/>
    <w:rsid w:val="00DA0646"/>
    <w:rsid w:val="00F11B70"/>
    <w:rsid w:val="00F67706"/>
    <w:rsid w:val="00FA5CC5"/>
    <w:rsid w:val="00FC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CF8F"/>
  <w15:chartTrackingRefBased/>
  <w15:docId w15:val="{5C712B68-D4CE-4AD1-AB58-403AE54A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40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2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LB">
    <w:name w:val="NLB"/>
    <w:basedOn w:val="Normal"/>
    <w:rsid w:val="001A2409"/>
    <w:pPr>
      <w:tabs>
        <w:tab w:val="left" w:pos="720"/>
      </w:tabs>
      <w:spacing w:after="60" w:line="220" w:lineRule="atLeast"/>
      <w:ind w:left="720" w:right="720"/>
    </w:pPr>
    <w:rPr>
      <w:rFonts w:ascii="Times New Roman" w:eastAsia="Times New Roman" w:hAnsi="Times New Roman" w:cs="Times New Roman"/>
      <w:color w:val="00000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4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304"/>
  </w:style>
  <w:style w:type="paragraph" w:styleId="Footer">
    <w:name w:val="footer"/>
    <w:basedOn w:val="Normal"/>
    <w:link w:val="FooterChar"/>
    <w:uiPriority w:val="99"/>
    <w:unhideWhenUsed/>
    <w:rsid w:val="00114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304"/>
  </w:style>
  <w:style w:type="character" w:styleId="PlaceholderText">
    <w:name w:val="Placeholder Text"/>
    <w:basedOn w:val="DefaultParagraphFont"/>
    <w:uiPriority w:val="99"/>
    <w:semiHidden/>
    <w:rsid w:val="005403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Stockel, Leslie</dc:creator>
  <cp:keywords/>
  <dc:description/>
  <cp:lastModifiedBy>Stockel, Leslie</cp:lastModifiedBy>
  <cp:revision>3</cp:revision>
  <cp:lastPrinted>2020-02-26T13:47:00Z</cp:lastPrinted>
  <dcterms:created xsi:type="dcterms:W3CDTF">2020-02-26T13:47:00Z</dcterms:created>
  <dcterms:modified xsi:type="dcterms:W3CDTF">2020-02-26T14:03:00Z</dcterms:modified>
</cp:coreProperties>
</file>