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7A9FE4" w14:textId="77777777" w:rsidR="00934787" w:rsidRPr="00934787" w:rsidRDefault="00934787" w:rsidP="00934787">
      <w:pPr>
        <w:shd w:val="clear" w:color="auto" w:fill="FFFFFF"/>
        <w:spacing w:after="0" w:line="240" w:lineRule="auto"/>
        <w:outlineLvl w:val="2"/>
        <w:rPr>
          <w:rFonts w:ascii="Times New Roman" w:eastAsia="Times New Roman" w:hAnsi="Times New Roman" w:cs="Times New Roman"/>
          <w:b/>
          <w:bCs/>
          <w:color w:val="575757"/>
          <w:spacing w:val="30"/>
          <w:sz w:val="39"/>
          <w:szCs w:val="39"/>
        </w:rPr>
      </w:pPr>
      <w:r w:rsidRPr="00934787">
        <w:rPr>
          <w:rFonts w:ascii="Times New Roman" w:eastAsia="Times New Roman" w:hAnsi="Times New Roman" w:cs="Times New Roman"/>
          <w:b/>
          <w:bCs/>
          <w:color w:val="575757"/>
          <w:spacing w:val="30"/>
          <w:sz w:val="39"/>
          <w:szCs w:val="39"/>
        </w:rPr>
        <w:t>Electronic Code of Federal Regulations</w:t>
      </w:r>
    </w:p>
    <w:tbl>
      <w:tblPr>
        <w:tblW w:w="4500" w:type="pct"/>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8424"/>
      </w:tblGrid>
      <w:tr w:rsidR="00934787" w:rsidRPr="00934787" w14:paraId="7688934B" w14:textId="77777777" w:rsidTr="00934787">
        <w:trPr>
          <w:tblCellSpacing w:w="15" w:type="dxa"/>
        </w:trPr>
        <w:tc>
          <w:tcPr>
            <w:tcW w:w="0" w:type="auto"/>
            <w:shd w:val="clear" w:color="auto" w:fill="FFFFFF"/>
            <w:hideMark/>
          </w:tcPr>
          <w:p w14:paraId="3D54BAA1" w14:textId="77777777" w:rsidR="00934787" w:rsidRPr="00934787" w:rsidRDefault="00934787" w:rsidP="00934787">
            <w:pPr>
              <w:spacing w:before="100" w:beforeAutospacing="1" w:after="100" w:afterAutospacing="1" w:line="240" w:lineRule="auto"/>
              <w:rPr>
                <w:rFonts w:ascii="Arial" w:eastAsia="Times New Roman" w:hAnsi="Arial" w:cs="Arial"/>
                <w:b/>
                <w:bCs/>
                <w:color w:val="575757"/>
                <w:spacing w:val="15"/>
                <w:sz w:val="27"/>
                <w:szCs w:val="27"/>
              </w:rPr>
            </w:pPr>
            <w:r w:rsidRPr="00934787">
              <w:rPr>
                <w:rFonts w:ascii="Arial" w:eastAsia="Times New Roman" w:hAnsi="Arial" w:cs="Arial"/>
                <w:b/>
                <w:bCs/>
                <w:color w:val="575757"/>
                <w:spacing w:val="15"/>
                <w:sz w:val="27"/>
                <w:szCs w:val="27"/>
              </w:rPr>
              <w:t>e-CFR data is current as of February 13, 2020</w:t>
            </w:r>
          </w:p>
        </w:tc>
      </w:tr>
    </w:tbl>
    <w:p w14:paraId="70879828" w14:textId="77777777" w:rsidR="00934787" w:rsidRPr="00934787" w:rsidRDefault="00934787" w:rsidP="00934787">
      <w:pPr>
        <w:spacing w:after="0" w:line="240" w:lineRule="auto"/>
        <w:rPr>
          <w:rFonts w:ascii="Times New Roman" w:eastAsia="Times New Roman" w:hAnsi="Times New Roman" w:cs="Times New Roman"/>
          <w:vanish/>
          <w:sz w:val="24"/>
          <w:szCs w:val="24"/>
        </w:rPr>
      </w:pP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7014"/>
      </w:tblGrid>
      <w:tr w:rsidR="00934787" w:rsidRPr="00934787" w14:paraId="417C325B" w14:textId="77777777" w:rsidTr="00934787">
        <w:trPr>
          <w:tblCellSpacing w:w="15" w:type="dxa"/>
        </w:trPr>
        <w:tc>
          <w:tcPr>
            <w:tcW w:w="0" w:type="auto"/>
            <w:shd w:val="clear" w:color="auto" w:fill="FFFFFF"/>
            <w:hideMark/>
          </w:tcPr>
          <w:p w14:paraId="1CE536BC" w14:textId="77777777" w:rsidR="00934787" w:rsidRPr="00934787" w:rsidRDefault="00934787" w:rsidP="00934787">
            <w:pPr>
              <w:spacing w:before="200" w:after="100" w:afterAutospacing="1" w:line="240" w:lineRule="auto"/>
              <w:rPr>
                <w:rFonts w:ascii="Arial" w:eastAsia="Times New Roman" w:hAnsi="Arial" w:cs="Arial"/>
                <w:color w:val="000000"/>
                <w:sz w:val="21"/>
                <w:szCs w:val="21"/>
              </w:rPr>
            </w:pPr>
            <w:hyperlink r:id="rId4" w:history="1">
              <w:r w:rsidRPr="00934787">
                <w:rPr>
                  <w:rFonts w:ascii="Arial" w:eastAsia="Times New Roman" w:hAnsi="Arial" w:cs="Arial"/>
                  <w:color w:val="4278B6"/>
                  <w:sz w:val="20"/>
                  <w:szCs w:val="20"/>
                </w:rPr>
                <w:t>Title 29</w:t>
              </w:r>
            </w:hyperlink>
            <w:r w:rsidRPr="00934787">
              <w:rPr>
                <w:rFonts w:ascii="Arial" w:eastAsia="Times New Roman" w:hAnsi="Arial" w:cs="Arial"/>
                <w:color w:val="000000"/>
                <w:sz w:val="21"/>
                <w:szCs w:val="21"/>
              </w:rPr>
              <w:t> → </w:t>
            </w:r>
            <w:hyperlink r:id="rId5" w:history="1">
              <w:r w:rsidRPr="00934787">
                <w:rPr>
                  <w:rFonts w:ascii="Arial" w:eastAsia="Times New Roman" w:hAnsi="Arial" w:cs="Arial"/>
                  <w:color w:val="4278B6"/>
                  <w:sz w:val="20"/>
                  <w:szCs w:val="20"/>
                </w:rPr>
                <w:t>Subtitle B</w:t>
              </w:r>
            </w:hyperlink>
            <w:r w:rsidRPr="00934787">
              <w:rPr>
                <w:rFonts w:ascii="Arial" w:eastAsia="Times New Roman" w:hAnsi="Arial" w:cs="Arial"/>
                <w:color w:val="000000"/>
                <w:sz w:val="21"/>
                <w:szCs w:val="21"/>
              </w:rPr>
              <w:t> → </w:t>
            </w:r>
            <w:hyperlink r:id="rId6" w:history="1">
              <w:r w:rsidRPr="00934787">
                <w:rPr>
                  <w:rFonts w:ascii="Arial" w:eastAsia="Times New Roman" w:hAnsi="Arial" w:cs="Arial"/>
                  <w:color w:val="4278B6"/>
                  <w:sz w:val="20"/>
                  <w:szCs w:val="20"/>
                </w:rPr>
                <w:t>Chapter XVII</w:t>
              </w:r>
            </w:hyperlink>
            <w:r w:rsidRPr="00934787">
              <w:rPr>
                <w:rFonts w:ascii="Arial" w:eastAsia="Times New Roman" w:hAnsi="Arial" w:cs="Arial"/>
                <w:color w:val="000000"/>
                <w:sz w:val="21"/>
                <w:szCs w:val="21"/>
              </w:rPr>
              <w:t> → </w:t>
            </w:r>
            <w:hyperlink r:id="rId7" w:history="1">
              <w:r w:rsidRPr="00934787">
                <w:rPr>
                  <w:rFonts w:ascii="Arial" w:eastAsia="Times New Roman" w:hAnsi="Arial" w:cs="Arial"/>
                  <w:color w:val="4278B6"/>
                  <w:sz w:val="20"/>
                  <w:szCs w:val="20"/>
                </w:rPr>
                <w:t>Part 1910</w:t>
              </w:r>
            </w:hyperlink>
            <w:r w:rsidRPr="00934787">
              <w:rPr>
                <w:rFonts w:ascii="Arial" w:eastAsia="Times New Roman" w:hAnsi="Arial" w:cs="Arial"/>
                <w:color w:val="000000"/>
                <w:sz w:val="21"/>
                <w:szCs w:val="21"/>
              </w:rPr>
              <w:t> → </w:t>
            </w:r>
            <w:hyperlink r:id="rId8" w:history="1">
              <w:r w:rsidRPr="00934787">
                <w:rPr>
                  <w:rFonts w:ascii="Arial" w:eastAsia="Times New Roman" w:hAnsi="Arial" w:cs="Arial"/>
                  <w:color w:val="4278B6"/>
                  <w:sz w:val="20"/>
                  <w:szCs w:val="20"/>
                </w:rPr>
                <w:t>Subpart E</w:t>
              </w:r>
            </w:hyperlink>
            <w:r w:rsidRPr="00934787">
              <w:rPr>
                <w:rFonts w:ascii="Arial" w:eastAsia="Times New Roman" w:hAnsi="Arial" w:cs="Arial"/>
                <w:color w:val="000000"/>
                <w:sz w:val="21"/>
                <w:szCs w:val="21"/>
              </w:rPr>
              <w:t> → §1910.39</w:t>
            </w:r>
          </w:p>
          <w:p w14:paraId="20719C0C" w14:textId="77777777" w:rsidR="00934787" w:rsidRPr="00934787" w:rsidRDefault="00934787" w:rsidP="00934787">
            <w:pPr>
              <w:spacing w:after="0" w:line="240" w:lineRule="auto"/>
              <w:rPr>
                <w:rFonts w:ascii="Arial" w:eastAsia="Times New Roman" w:hAnsi="Arial" w:cs="Arial"/>
                <w:color w:val="000000"/>
                <w:sz w:val="21"/>
                <w:szCs w:val="21"/>
              </w:rPr>
            </w:pPr>
            <w:r w:rsidRPr="00934787">
              <w:rPr>
                <w:rFonts w:ascii="Arial" w:eastAsia="Times New Roman" w:hAnsi="Arial" w:cs="Arial"/>
                <w:color w:val="000000"/>
                <w:sz w:val="21"/>
                <w:szCs w:val="21"/>
              </w:rPr>
              <w:pict w14:anchorId="570B2D1D">
                <v:rect id="_x0000_i1025" style="width:0;height:1.5pt" o:hralign="center" o:hrstd="t" o:hrnoshade="t" o:hr="t" fillcolor="black" stroked="f"/>
              </w:pict>
            </w:r>
          </w:p>
        </w:tc>
      </w:tr>
    </w:tbl>
    <w:p w14:paraId="54A49729" w14:textId="77777777" w:rsidR="00934787" w:rsidRPr="00934787" w:rsidRDefault="00934787" w:rsidP="00934787">
      <w:pPr>
        <w:shd w:val="clear" w:color="auto" w:fill="FFFFFF"/>
        <w:spacing w:before="200" w:after="100" w:afterAutospacing="1" w:line="240" w:lineRule="auto"/>
        <w:rPr>
          <w:rFonts w:ascii="Arial" w:eastAsia="Times New Roman" w:hAnsi="Arial" w:cs="Arial"/>
          <w:color w:val="000000"/>
          <w:sz w:val="21"/>
          <w:szCs w:val="21"/>
        </w:rPr>
      </w:pPr>
      <w:hyperlink r:id="rId9" w:history="1">
        <w:r w:rsidRPr="00934787">
          <w:rPr>
            <w:rFonts w:ascii="Arial" w:eastAsia="Times New Roman" w:hAnsi="Arial" w:cs="Arial"/>
            <w:color w:val="4278B6"/>
            <w:sz w:val="21"/>
            <w:szCs w:val="21"/>
          </w:rPr>
          <w:t>Browse Previous</w:t>
        </w:r>
      </w:hyperlink>
    </w:p>
    <w:p w14:paraId="4947F262" w14:textId="77777777" w:rsidR="00934787" w:rsidRPr="00934787" w:rsidRDefault="00934787" w:rsidP="00934787">
      <w:pPr>
        <w:shd w:val="clear" w:color="auto" w:fill="FFFFFF"/>
        <w:spacing w:before="200" w:after="100" w:afterAutospacing="1" w:line="240" w:lineRule="auto"/>
        <w:rPr>
          <w:rFonts w:ascii="Arial" w:eastAsia="Times New Roman" w:hAnsi="Arial" w:cs="Arial"/>
          <w:color w:val="000000"/>
          <w:sz w:val="21"/>
          <w:szCs w:val="21"/>
        </w:rPr>
      </w:pPr>
      <w:r w:rsidRPr="00934787">
        <w:rPr>
          <w:rFonts w:ascii="Arial" w:eastAsia="Times New Roman" w:hAnsi="Arial" w:cs="Arial"/>
          <w:color w:val="000000"/>
          <w:sz w:val="21"/>
          <w:szCs w:val="21"/>
        </w:rPr>
        <w:t>Title 29: Labor</w:t>
      </w:r>
      <w:r w:rsidRPr="00934787">
        <w:rPr>
          <w:rFonts w:ascii="Arial" w:eastAsia="Times New Roman" w:hAnsi="Arial" w:cs="Arial"/>
          <w:color w:val="000000"/>
          <w:sz w:val="21"/>
          <w:szCs w:val="21"/>
        </w:rPr>
        <w:br/>
      </w:r>
      <w:hyperlink r:id="rId10" w:history="1">
        <w:r w:rsidRPr="00934787">
          <w:rPr>
            <w:rFonts w:ascii="Arial" w:eastAsia="Times New Roman" w:hAnsi="Arial" w:cs="Arial"/>
            <w:color w:val="4278B6"/>
            <w:sz w:val="21"/>
            <w:szCs w:val="21"/>
          </w:rPr>
          <w:t>PART 1910—OCCUPATIONAL SAFETY AND HEALTH STANDARDS</w:t>
        </w:r>
      </w:hyperlink>
      <w:r w:rsidRPr="00934787">
        <w:rPr>
          <w:rFonts w:ascii="Arial" w:eastAsia="Times New Roman" w:hAnsi="Arial" w:cs="Arial"/>
          <w:color w:val="000000"/>
          <w:sz w:val="21"/>
          <w:szCs w:val="21"/>
        </w:rPr>
        <w:br/>
      </w:r>
      <w:hyperlink r:id="rId11" w:history="1">
        <w:r w:rsidRPr="00934787">
          <w:rPr>
            <w:rFonts w:ascii="Arial" w:eastAsia="Times New Roman" w:hAnsi="Arial" w:cs="Arial"/>
            <w:color w:val="4278B6"/>
            <w:sz w:val="21"/>
            <w:szCs w:val="21"/>
          </w:rPr>
          <w:t>Subpart E—Exit Routes and Emergency Planning</w:t>
        </w:r>
      </w:hyperlink>
    </w:p>
    <w:p w14:paraId="682A886B" w14:textId="77777777" w:rsidR="00934787" w:rsidRPr="00934787" w:rsidRDefault="00934787" w:rsidP="00934787">
      <w:pPr>
        <w:spacing w:after="0" w:line="240" w:lineRule="auto"/>
        <w:rPr>
          <w:rFonts w:ascii="Times New Roman" w:eastAsia="Times New Roman" w:hAnsi="Times New Roman" w:cs="Times New Roman"/>
          <w:sz w:val="24"/>
          <w:szCs w:val="24"/>
        </w:rPr>
      </w:pPr>
      <w:r w:rsidRPr="00934787">
        <w:rPr>
          <w:rFonts w:ascii="Times New Roman" w:eastAsia="Times New Roman" w:hAnsi="Times New Roman" w:cs="Times New Roman"/>
          <w:sz w:val="24"/>
          <w:szCs w:val="24"/>
        </w:rPr>
        <w:pict w14:anchorId="62CE96C3">
          <v:rect id="_x0000_i1026" style="width:0;height:1.5pt" o:hrstd="t" o:hrnoshade="t" o:hr="t" fillcolor="black" stroked="f"/>
        </w:pict>
      </w:r>
    </w:p>
    <w:p w14:paraId="42C06383" w14:textId="77777777" w:rsidR="00934787" w:rsidRPr="00934787" w:rsidRDefault="00934787" w:rsidP="00934787">
      <w:pPr>
        <w:shd w:val="clear" w:color="auto" w:fill="FFFFFF"/>
        <w:spacing w:before="200" w:after="100" w:line="240" w:lineRule="auto"/>
        <w:outlineLvl w:val="1"/>
        <w:rPr>
          <w:rFonts w:ascii="Arial" w:eastAsia="Times New Roman" w:hAnsi="Arial" w:cs="Arial"/>
          <w:b/>
          <w:bCs/>
          <w:color w:val="000000"/>
          <w:sz w:val="21"/>
          <w:szCs w:val="21"/>
        </w:rPr>
      </w:pPr>
      <w:bookmarkStart w:id="0" w:name="_top"/>
      <w:bookmarkStart w:id="1" w:name="_GoBack"/>
      <w:bookmarkEnd w:id="0"/>
      <w:r w:rsidRPr="00934787">
        <w:rPr>
          <w:rFonts w:ascii="Arial" w:eastAsia="Times New Roman" w:hAnsi="Arial" w:cs="Arial"/>
          <w:b/>
          <w:bCs/>
          <w:color w:val="000000"/>
          <w:sz w:val="21"/>
          <w:szCs w:val="21"/>
        </w:rPr>
        <w:t>§1910.39   Fire prevention plans.</w:t>
      </w:r>
    </w:p>
    <w:bookmarkEnd w:id="1"/>
    <w:p w14:paraId="69B66EFB" w14:textId="77777777" w:rsidR="00934787" w:rsidRPr="00934787" w:rsidRDefault="00934787" w:rsidP="0093478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34787">
        <w:rPr>
          <w:rFonts w:ascii="Arial" w:eastAsia="Times New Roman" w:hAnsi="Arial" w:cs="Arial"/>
          <w:color w:val="000000"/>
          <w:sz w:val="21"/>
          <w:szCs w:val="21"/>
        </w:rPr>
        <w:t>(a) </w:t>
      </w:r>
      <w:r w:rsidRPr="00934787">
        <w:rPr>
          <w:rFonts w:ascii="Arial" w:eastAsia="Times New Roman" w:hAnsi="Arial" w:cs="Arial"/>
          <w:i/>
          <w:iCs/>
          <w:color w:val="000000"/>
          <w:sz w:val="21"/>
          <w:szCs w:val="21"/>
        </w:rPr>
        <w:t>Application.</w:t>
      </w:r>
      <w:r w:rsidRPr="00934787">
        <w:rPr>
          <w:rFonts w:ascii="Arial" w:eastAsia="Times New Roman" w:hAnsi="Arial" w:cs="Arial"/>
          <w:color w:val="000000"/>
          <w:sz w:val="21"/>
          <w:szCs w:val="21"/>
        </w:rPr>
        <w:t> An employer must have a fire prevention plan when an OSHA standard in this part requires one. The requirements in this section apply to each such fire prevention plan.</w:t>
      </w:r>
    </w:p>
    <w:p w14:paraId="16CC7D96" w14:textId="77777777" w:rsidR="00934787" w:rsidRPr="00934787" w:rsidRDefault="00934787" w:rsidP="0093478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34787">
        <w:rPr>
          <w:rFonts w:ascii="Arial" w:eastAsia="Times New Roman" w:hAnsi="Arial" w:cs="Arial"/>
          <w:color w:val="000000"/>
          <w:sz w:val="21"/>
          <w:szCs w:val="21"/>
        </w:rPr>
        <w:t>(b) </w:t>
      </w:r>
      <w:r w:rsidRPr="00934787">
        <w:rPr>
          <w:rFonts w:ascii="Arial" w:eastAsia="Times New Roman" w:hAnsi="Arial" w:cs="Arial"/>
          <w:i/>
          <w:iCs/>
          <w:color w:val="000000"/>
          <w:sz w:val="21"/>
          <w:szCs w:val="21"/>
        </w:rPr>
        <w:t>Written and oral fire prevention plans.</w:t>
      </w:r>
      <w:r w:rsidRPr="00934787">
        <w:rPr>
          <w:rFonts w:ascii="Arial" w:eastAsia="Times New Roman" w:hAnsi="Arial" w:cs="Arial"/>
          <w:color w:val="000000"/>
          <w:sz w:val="21"/>
          <w:szCs w:val="21"/>
        </w:rPr>
        <w:t> A fire prevention plan must be in writing, be kept in the workplace, and be made available to employees for review. However, an employer with 10 or fewer employees may communicate the plan orally to employees.</w:t>
      </w:r>
    </w:p>
    <w:p w14:paraId="3DFA9445" w14:textId="77777777" w:rsidR="00934787" w:rsidRPr="00934787" w:rsidRDefault="00934787" w:rsidP="0093478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34787">
        <w:rPr>
          <w:rFonts w:ascii="Arial" w:eastAsia="Times New Roman" w:hAnsi="Arial" w:cs="Arial"/>
          <w:color w:val="000000"/>
          <w:sz w:val="21"/>
          <w:szCs w:val="21"/>
        </w:rPr>
        <w:t>(c) </w:t>
      </w:r>
      <w:r w:rsidRPr="00934787">
        <w:rPr>
          <w:rFonts w:ascii="Arial" w:eastAsia="Times New Roman" w:hAnsi="Arial" w:cs="Arial"/>
          <w:i/>
          <w:iCs/>
          <w:color w:val="000000"/>
          <w:sz w:val="21"/>
          <w:szCs w:val="21"/>
        </w:rPr>
        <w:t>Minimum elements of a fire prevention plan.</w:t>
      </w:r>
      <w:r w:rsidRPr="00934787">
        <w:rPr>
          <w:rFonts w:ascii="Arial" w:eastAsia="Times New Roman" w:hAnsi="Arial" w:cs="Arial"/>
          <w:color w:val="000000"/>
          <w:sz w:val="21"/>
          <w:szCs w:val="21"/>
        </w:rPr>
        <w:t> A fire prevention plan must include:</w:t>
      </w:r>
    </w:p>
    <w:p w14:paraId="5116FE6C" w14:textId="77777777" w:rsidR="00934787" w:rsidRPr="00934787" w:rsidRDefault="00934787" w:rsidP="0093478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34787">
        <w:rPr>
          <w:rFonts w:ascii="Arial" w:eastAsia="Times New Roman" w:hAnsi="Arial" w:cs="Arial"/>
          <w:color w:val="000000"/>
          <w:sz w:val="21"/>
          <w:szCs w:val="21"/>
        </w:rPr>
        <w:t>(1) A list of all major fire hazards, proper handling and storage procedures for hazardous materials, potential ignition sources and their control, and the type of fire protection equipment necessary to control each major hazard;</w:t>
      </w:r>
    </w:p>
    <w:p w14:paraId="7A2B4987" w14:textId="77777777" w:rsidR="00934787" w:rsidRPr="00934787" w:rsidRDefault="00934787" w:rsidP="0093478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34787">
        <w:rPr>
          <w:rFonts w:ascii="Arial" w:eastAsia="Times New Roman" w:hAnsi="Arial" w:cs="Arial"/>
          <w:color w:val="000000"/>
          <w:sz w:val="21"/>
          <w:szCs w:val="21"/>
        </w:rPr>
        <w:t>(2) Procedures to control accumulations of flammable and combustible waste materials;</w:t>
      </w:r>
    </w:p>
    <w:p w14:paraId="69B0A724" w14:textId="77777777" w:rsidR="00934787" w:rsidRPr="00934787" w:rsidRDefault="00934787" w:rsidP="0093478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34787">
        <w:rPr>
          <w:rFonts w:ascii="Arial" w:eastAsia="Times New Roman" w:hAnsi="Arial" w:cs="Arial"/>
          <w:color w:val="000000"/>
          <w:sz w:val="21"/>
          <w:szCs w:val="21"/>
        </w:rPr>
        <w:t>(3) Procedures for regular maintenance of safeguards installed on heat-producing equipment to prevent the accidental ignition of combustible materials;</w:t>
      </w:r>
    </w:p>
    <w:p w14:paraId="39090DE2" w14:textId="77777777" w:rsidR="00934787" w:rsidRPr="00934787" w:rsidRDefault="00934787" w:rsidP="0093478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34787">
        <w:rPr>
          <w:rFonts w:ascii="Arial" w:eastAsia="Times New Roman" w:hAnsi="Arial" w:cs="Arial"/>
          <w:color w:val="000000"/>
          <w:sz w:val="21"/>
          <w:szCs w:val="21"/>
        </w:rPr>
        <w:t>(4) The name or job title of employees responsible for maintaining equipment to prevent or control sources of ignition or fires; and</w:t>
      </w:r>
    </w:p>
    <w:p w14:paraId="2B666FF8" w14:textId="77777777" w:rsidR="00934787" w:rsidRPr="00934787" w:rsidRDefault="00934787" w:rsidP="0093478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34787">
        <w:rPr>
          <w:rFonts w:ascii="Arial" w:eastAsia="Times New Roman" w:hAnsi="Arial" w:cs="Arial"/>
          <w:color w:val="000000"/>
          <w:sz w:val="21"/>
          <w:szCs w:val="21"/>
        </w:rPr>
        <w:t>(5) The name or job title of employees responsible for the control of fuel source hazards.</w:t>
      </w:r>
    </w:p>
    <w:p w14:paraId="13E240E8" w14:textId="77777777" w:rsidR="00934787" w:rsidRPr="00934787" w:rsidRDefault="00934787" w:rsidP="00934787">
      <w:pPr>
        <w:shd w:val="clear" w:color="auto" w:fill="FFFFFF"/>
        <w:spacing w:before="100" w:beforeAutospacing="1" w:after="100" w:afterAutospacing="1" w:line="240" w:lineRule="auto"/>
        <w:ind w:firstLine="480"/>
        <w:rPr>
          <w:rFonts w:ascii="Arial" w:eastAsia="Times New Roman" w:hAnsi="Arial" w:cs="Arial"/>
          <w:color w:val="000000"/>
          <w:sz w:val="21"/>
          <w:szCs w:val="21"/>
        </w:rPr>
      </w:pPr>
      <w:r w:rsidRPr="00934787">
        <w:rPr>
          <w:rFonts w:ascii="Arial" w:eastAsia="Times New Roman" w:hAnsi="Arial" w:cs="Arial"/>
          <w:color w:val="000000"/>
          <w:sz w:val="21"/>
          <w:szCs w:val="21"/>
        </w:rPr>
        <w:t>(d) </w:t>
      </w:r>
      <w:r w:rsidRPr="00934787">
        <w:rPr>
          <w:rFonts w:ascii="Arial" w:eastAsia="Times New Roman" w:hAnsi="Arial" w:cs="Arial"/>
          <w:i/>
          <w:iCs/>
          <w:color w:val="000000"/>
          <w:sz w:val="21"/>
          <w:szCs w:val="21"/>
        </w:rPr>
        <w:t>Employee information.</w:t>
      </w:r>
      <w:r w:rsidRPr="00934787">
        <w:rPr>
          <w:rFonts w:ascii="Arial" w:eastAsia="Times New Roman" w:hAnsi="Arial" w:cs="Arial"/>
          <w:color w:val="000000"/>
          <w:sz w:val="21"/>
          <w:szCs w:val="21"/>
        </w:rPr>
        <w:t> An employer must inform employees upon initial assignment to a job of the fire hazards to which they are exposed. An employer must also review with each employee those parts of the fire prevention plan necessary for self-protection.</w:t>
      </w:r>
    </w:p>
    <w:p w14:paraId="69E0C684" w14:textId="77777777" w:rsidR="00934787" w:rsidRPr="00934787" w:rsidRDefault="00934787" w:rsidP="00934787">
      <w:pPr>
        <w:shd w:val="clear" w:color="auto" w:fill="FFFFFF"/>
        <w:spacing w:before="200" w:after="100" w:afterAutospacing="1" w:line="240" w:lineRule="auto"/>
        <w:rPr>
          <w:rFonts w:ascii="Arial" w:eastAsia="Times New Roman" w:hAnsi="Arial" w:cs="Arial"/>
          <w:color w:val="000000"/>
          <w:sz w:val="18"/>
          <w:szCs w:val="18"/>
        </w:rPr>
      </w:pPr>
      <w:r w:rsidRPr="00934787">
        <w:rPr>
          <w:rFonts w:ascii="Arial" w:eastAsia="Times New Roman" w:hAnsi="Arial" w:cs="Arial"/>
          <w:color w:val="000000"/>
          <w:sz w:val="18"/>
          <w:szCs w:val="18"/>
        </w:rPr>
        <w:t>[67 FR 67961, Nov. 7, 2002]</w:t>
      </w:r>
    </w:p>
    <w:sectPr w:rsidR="00934787" w:rsidRPr="009347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787"/>
    <w:rsid w:val="00181D73"/>
    <w:rsid w:val="00514FD5"/>
    <w:rsid w:val="009347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41B72"/>
  <w15:chartTrackingRefBased/>
  <w15:docId w15:val="{5D842905-6665-45DD-9CDB-0EB7BB53F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link w:val="Heading2Char"/>
    <w:uiPriority w:val="9"/>
    <w:qFormat/>
    <w:rsid w:val="009347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3478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478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34787"/>
    <w:rPr>
      <w:rFonts w:ascii="Times New Roman" w:eastAsia="Times New Roman" w:hAnsi="Times New Roman" w:cs="Times New Roman"/>
      <w:b/>
      <w:bCs/>
      <w:sz w:val="27"/>
      <w:szCs w:val="27"/>
    </w:rPr>
  </w:style>
  <w:style w:type="paragraph" w:customStyle="1" w:styleId="updated">
    <w:name w:val="updated"/>
    <w:basedOn w:val="Normal"/>
    <w:rsid w:val="009347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p">
    <w:name w:val="fp"/>
    <w:basedOn w:val="Normal"/>
    <w:rsid w:val="0093478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34787"/>
    <w:rPr>
      <w:color w:val="0000FF"/>
      <w:u w:val="single"/>
    </w:rPr>
  </w:style>
  <w:style w:type="paragraph" w:styleId="NormalWeb">
    <w:name w:val="Normal (Web)"/>
    <w:basedOn w:val="Normal"/>
    <w:uiPriority w:val="99"/>
    <w:semiHidden/>
    <w:unhideWhenUsed/>
    <w:rsid w:val="0093478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ita">
    <w:name w:val="cita"/>
    <w:basedOn w:val="Normal"/>
    <w:rsid w:val="0093478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0086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fr.gov/cgi-bin/retrieveECFR?gp=&amp;SID=f44c09ad60dbed15c7c698ca4c883f27&amp;mc=true&amp;n=sp29.5.1910.e&amp;r=SUBPART&amp;ty=HTML"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cfr.gov/cgi-bin/retrieveECFR?gp=&amp;SID=f44c09ad60dbed15c7c698ca4c883f27&amp;mc=true&amp;n=pt29.5.1910&amp;r=PART&amp;ty=HTML"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cfr.gov/cgi-bin/text-idx?gp=&amp;SID=f44c09ad60dbed15c7c698ca4c883f27&amp;mc=true&amp;tpl=/ecfrbrowse/Title29/29chapterXVII.tpl" TargetMode="External"/><Relationship Id="rId11" Type="http://schemas.openxmlformats.org/officeDocument/2006/relationships/hyperlink" Target="https://www.ecfr.gov/cgi-bin/retrieveECFR?gp=&amp;SID=f44c09ad60dbed15c7c698ca4c883f27&amp;mc=true&amp;n=sp29.5.1910.e&amp;r=SUBPART&amp;ty=HTML" TargetMode="External"/><Relationship Id="rId5" Type="http://schemas.openxmlformats.org/officeDocument/2006/relationships/hyperlink" Target="https://www.ecfr.gov/cgi-bin/text-idx?gp=&amp;SID=f44c09ad60dbed15c7c698ca4c883f27&amp;mc=true&amp;tpl=/ecfrbrowse/Title29/29subtitleB.tpl" TargetMode="External"/><Relationship Id="rId10" Type="http://schemas.openxmlformats.org/officeDocument/2006/relationships/hyperlink" Target="https://www.ecfr.gov/cgi-bin/retrieveECFR?gp=&amp;SID=f44c09ad60dbed15c7c698ca4c883f27&amp;mc=true&amp;n=pt29.5.1910&amp;r=PART&amp;ty=HTML" TargetMode="External"/><Relationship Id="rId4" Type="http://schemas.openxmlformats.org/officeDocument/2006/relationships/hyperlink" Target="https://www.ecfr.gov/cgi-bin/text-idx?gp=&amp;SID=f44c09ad60dbed15c7c698ca4c883f27&amp;mc=true&amp;tpl=/ecfrbrowse/Title29/29tab_02.tpl" TargetMode="External"/><Relationship Id="rId9" Type="http://schemas.openxmlformats.org/officeDocument/2006/relationships/hyperlink" Target="https://www.ecfr.gov/cgi-bin/retrieveECFR?gp=&amp;SID=f44c09ad60dbed15c7c698ca4c883f27&amp;mc=true&amp;r=SECTION&amp;n=se29.5.1910_1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439</Words>
  <Characters>2507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Wilson</dc:creator>
  <cp:keywords/>
  <dc:description/>
  <cp:lastModifiedBy>Tim Wilson</cp:lastModifiedBy>
  <cp:revision>1</cp:revision>
  <dcterms:created xsi:type="dcterms:W3CDTF">2020-02-18T20:57:00Z</dcterms:created>
  <dcterms:modified xsi:type="dcterms:W3CDTF">2020-02-18T20:58:00Z</dcterms:modified>
</cp:coreProperties>
</file>