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27096" w14:textId="009BD62E" w:rsidR="00FE6303" w:rsidRDefault="00FE6303" w:rsidP="00FE6303">
      <w:pPr>
        <w:pStyle w:val="ListParagraph"/>
        <w:numPr>
          <w:ilvl w:val="0"/>
          <w:numId w:val="1"/>
        </w:numPr>
      </w:pPr>
      <w:r>
        <w:rPr>
          <w:rFonts w:hint="eastAsia"/>
        </w:rPr>
        <w:t>Oper</w:t>
      </w:r>
      <w:r>
        <w:t>ational Risk</w:t>
      </w:r>
    </w:p>
    <w:p w14:paraId="096682D1" w14:textId="757461CC" w:rsidR="00B27766" w:rsidRDefault="00FE6303">
      <w:r w:rsidRPr="00FE6303">
        <w:t>According to Basel Committee on Banking Supervision (2003), Operational risk is defined as the risk of losses resulting from inadequate or failed internal processes, people, systems or from external events.</w:t>
      </w:r>
      <w:r>
        <w:t xml:space="preserve"> </w:t>
      </w:r>
      <w:r w:rsidRPr="00FE6303">
        <w:t xml:space="preserve">There are different types of operational risks like fiduciary breaches, aggressive sales, breaches of privacy, account churning, failure of IT systems, health and safety, </w:t>
      </w:r>
      <w:proofErr w:type="gramStart"/>
      <w:r w:rsidRPr="00FE6303">
        <w:t>litigation</w:t>
      </w:r>
      <w:proofErr w:type="gramEnd"/>
      <w:r w:rsidRPr="00FE6303">
        <w:t xml:space="preserve"> and misuse of confidential information.</w:t>
      </w:r>
    </w:p>
    <w:p w14:paraId="0CD8CD12" w14:textId="121641A5" w:rsidR="00FE6303" w:rsidRDefault="00FE6303"/>
    <w:p w14:paraId="224D910E" w14:textId="77777777" w:rsidR="00E91067" w:rsidRDefault="00E91067" w:rsidP="00E91067">
      <w:r>
        <w:t xml:space="preserve">Operational risk management activities and processes, </w:t>
      </w:r>
      <w:proofErr w:type="gramStart"/>
      <w:r>
        <w:t>including:</w:t>
      </w:r>
      <w:proofErr w:type="gramEnd"/>
      <w:r>
        <w:t xml:space="preserve"> risk identification; risk and control assessments; and the implementation of effective risk appetite, risk management and governance frameworks.</w:t>
      </w:r>
    </w:p>
    <w:p w14:paraId="14C28D6C" w14:textId="77777777" w:rsidR="00E91067" w:rsidRDefault="00E91067" w:rsidP="00E91067"/>
    <w:p w14:paraId="06B818B8" w14:textId="77777777" w:rsidR="00E91067" w:rsidRDefault="00E91067" w:rsidP="00E91067"/>
    <w:p w14:paraId="5F98EBF6" w14:textId="77777777" w:rsidR="00E91067" w:rsidRDefault="00E91067" w:rsidP="00E91067">
      <w:r>
        <w:t>I</w:t>
      </w:r>
      <w:r w:rsidRPr="00FE6303">
        <w:t>mplement the techniques that support a robust operational risk management framework</w:t>
      </w:r>
      <w:r>
        <w:t>.</w:t>
      </w:r>
    </w:p>
    <w:p w14:paraId="08A12126" w14:textId="77777777" w:rsidR="00E91067" w:rsidRPr="00FE6303" w:rsidRDefault="00E91067" w:rsidP="00E91067"/>
    <w:p w14:paraId="7AE0FF66" w14:textId="24B2EF8E" w:rsidR="00FE6303" w:rsidRDefault="00FE6303">
      <w:pPr>
        <w:pBdr>
          <w:bottom w:val="single" w:sz="12" w:space="1" w:color="auto"/>
        </w:pBdr>
      </w:pPr>
    </w:p>
    <w:p w14:paraId="494E2DA7" w14:textId="77777777" w:rsidR="00FE6303" w:rsidRDefault="00FE6303"/>
    <w:p w14:paraId="5D9EC2EB" w14:textId="2AB094A1" w:rsidR="00FE6303" w:rsidRDefault="00FE6303" w:rsidP="008C6705">
      <w:r w:rsidRPr="00FE6303">
        <w:t>Key Risk Indicators</w:t>
      </w:r>
      <w:r>
        <w:t xml:space="preserve">: </w:t>
      </w:r>
      <w:r w:rsidR="008C6705">
        <w:t xml:space="preserve">an important tool </w:t>
      </w:r>
      <w:r w:rsidR="008C6705">
        <w:t>within operational risk management, facilitating the monitoring</w:t>
      </w:r>
      <w:r w:rsidR="008C6705">
        <w:t xml:space="preserve"> </w:t>
      </w:r>
      <w:r w:rsidR="008C6705">
        <w:t>and control of risk</w:t>
      </w:r>
      <w:r w:rsidR="008C6705">
        <w:t xml:space="preserve">. </w:t>
      </w:r>
      <w:r w:rsidR="008C6705" w:rsidRPr="008C6705">
        <w:t>Indicators are metrics used to monitor identified risk exposures over time.</w:t>
      </w:r>
    </w:p>
    <w:p w14:paraId="5342B76F" w14:textId="77777777" w:rsidR="00451106" w:rsidRDefault="00451106" w:rsidP="008C6705"/>
    <w:p w14:paraId="7B47624A" w14:textId="05E0D03E" w:rsidR="008C6705" w:rsidRDefault="008C6705" w:rsidP="00E91067">
      <w:pPr>
        <w:pStyle w:val="ListParagraph"/>
        <w:numPr>
          <w:ilvl w:val="0"/>
          <w:numId w:val="1"/>
        </w:numPr>
      </w:pPr>
      <w:r>
        <w:t>Used to measure:</w:t>
      </w:r>
    </w:p>
    <w:p w14:paraId="28CDC5E1" w14:textId="7A664A55" w:rsidR="008C6705" w:rsidRDefault="008C6705" w:rsidP="008C6705">
      <w:r w:rsidRPr="008C6705">
        <w:t xml:space="preserve">The quantum (amount) of exposure to a given risk or set of risks. </w:t>
      </w:r>
    </w:p>
    <w:p w14:paraId="5107D6CB" w14:textId="16C0A48A" w:rsidR="008C6705" w:rsidRDefault="008C6705" w:rsidP="008C6705">
      <w:r w:rsidRPr="008C6705">
        <w:t xml:space="preserve">The effectiveness of any controls that have been implemented to reduce or mitigate a given risk exposure. </w:t>
      </w:r>
    </w:p>
    <w:p w14:paraId="1E49D802" w14:textId="3B58AE3A" w:rsidR="008C6705" w:rsidRDefault="008C6705" w:rsidP="008C6705">
      <w:r w:rsidRPr="008C6705">
        <w:t xml:space="preserve">How well we are managing our risk exposures (the performance of our risk management framework). </w:t>
      </w:r>
    </w:p>
    <w:p w14:paraId="5420C8A0" w14:textId="77777777" w:rsidR="008C6705" w:rsidRDefault="008C6705" w:rsidP="008C6705">
      <w:pPr>
        <w:rPr>
          <w:rFonts w:hint="eastAsia"/>
        </w:rPr>
      </w:pPr>
    </w:p>
    <w:p w14:paraId="586FE8CC" w14:textId="2DDD5FB4" w:rsidR="00451106" w:rsidRPr="00E91067" w:rsidRDefault="008C6705" w:rsidP="00E91067">
      <w:pPr>
        <w:pStyle w:val="ListParagraph"/>
        <w:numPr>
          <w:ilvl w:val="0"/>
          <w:numId w:val="1"/>
        </w:numPr>
        <w:rPr>
          <w:rFonts w:ascii="Times New Roman" w:eastAsia="Times New Roman" w:hAnsi="Times New Roman" w:cs="Times New Roman"/>
        </w:rPr>
      </w:pPr>
      <w:r w:rsidRPr="00E91067">
        <w:rPr>
          <w:rFonts w:ascii="Times New Roman" w:eastAsia="Times New Roman" w:hAnsi="Times New Roman" w:cs="Times New Roman"/>
        </w:rPr>
        <w:t>three different types of indicator</w:t>
      </w:r>
      <w:r w:rsidR="00451106" w:rsidRPr="00E91067">
        <w:rPr>
          <w:rFonts w:ascii="Times New Roman" w:eastAsia="Times New Roman" w:hAnsi="Times New Roman" w:cs="Times New Roman" w:hint="eastAsia"/>
        </w:rPr>
        <w:t>s</w:t>
      </w:r>
      <w:r w:rsidRPr="00E91067">
        <w:rPr>
          <w:rFonts w:ascii="Times New Roman" w:eastAsia="Times New Roman" w:hAnsi="Times New Roman" w:cs="Times New Roman"/>
        </w:rPr>
        <w:t xml:space="preserve">: </w:t>
      </w:r>
    </w:p>
    <w:p w14:paraId="156AFB82" w14:textId="06F72EB2" w:rsidR="00451106" w:rsidRDefault="008C6705" w:rsidP="008C6705">
      <w:r w:rsidRPr="008C6705">
        <w:t>risk (exposure) indicators</w:t>
      </w:r>
      <w:r w:rsidR="00451106">
        <w:t xml:space="preserve">: </w:t>
      </w:r>
      <w:r w:rsidR="00451106" w:rsidRPr="00451106">
        <w:t xml:space="preserve">exposure to a given operational risk which the </w:t>
      </w:r>
      <w:r w:rsidR="00451106" w:rsidRPr="00451106">
        <w:t>organization</w:t>
      </w:r>
      <w:r w:rsidR="00451106" w:rsidRPr="00451106">
        <w:t xml:space="preserve"> has at a particular point in time</w:t>
      </w:r>
      <w:r w:rsidRPr="008C6705">
        <w:t xml:space="preserve"> </w:t>
      </w:r>
    </w:p>
    <w:p w14:paraId="125F638D" w14:textId="77777777" w:rsidR="00451106" w:rsidRPr="00451106" w:rsidRDefault="00451106" w:rsidP="00451106">
      <w:r w:rsidRPr="00451106">
        <w:t>Appendices (8.1).</w:t>
      </w:r>
    </w:p>
    <w:p w14:paraId="53C71ED5" w14:textId="77777777" w:rsidR="00451106" w:rsidRDefault="00451106" w:rsidP="008C6705"/>
    <w:p w14:paraId="1B74D830" w14:textId="3F4B0624" w:rsidR="00451106" w:rsidRDefault="008C6705" w:rsidP="00451106">
      <w:r w:rsidRPr="008C6705">
        <w:t>control effectiveness indicators</w:t>
      </w:r>
      <w:r w:rsidR="00451106">
        <w:t xml:space="preserve">: </w:t>
      </w:r>
      <w:r w:rsidR="00451106" w:rsidRPr="00451106">
        <w:t>a given control is meeting its intended objective</w:t>
      </w:r>
      <w:r w:rsidR="00451106">
        <w:t xml:space="preserve">s </w:t>
      </w:r>
      <w:r w:rsidR="00451106" w:rsidRPr="00451106">
        <w:t>in terms of loss prevention, reduction</w:t>
      </w:r>
      <w:r w:rsidR="00451106">
        <w:t xml:space="preserve">. </w:t>
      </w:r>
      <w:r w:rsidR="00451106" w:rsidRPr="00451106">
        <w:t xml:space="preserve">measure the effectiveness of </w:t>
      </w:r>
      <w:proofErr w:type="gramStart"/>
      <w:r w:rsidR="00451106" w:rsidRPr="00451106">
        <w:t>particular operational</w:t>
      </w:r>
      <w:proofErr w:type="gramEnd"/>
      <w:r w:rsidR="00451106" w:rsidRPr="00451106">
        <w:t xml:space="preserve"> risk controls at a particular point in time</w:t>
      </w:r>
      <w:r w:rsidR="00451106">
        <w:t>.</w:t>
      </w:r>
    </w:p>
    <w:p w14:paraId="7EAFDEBE" w14:textId="3C012AEA" w:rsidR="00451106" w:rsidRPr="00451106" w:rsidRDefault="00451106" w:rsidP="00451106">
      <w:r w:rsidRPr="00451106">
        <w:t>an explicit relationship to both the specific control and to the specific risk against which the control has been implemented</w:t>
      </w:r>
      <w:r>
        <w:t>.</w:t>
      </w:r>
    </w:p>
    <w:p w14:paraId="4F452530" w14:textId="5C8E0531" w:rsidR="00451106" w:rsidRDefault="00451106" w:rsidP="008C6705"/>
    <w:p w14:paraId="41AA3FA7" w14:textId="2E8C9D78" w:rsidR="008C6705" w:rsidRPr="008C6705" w:rsidRDefault="008C6705" w:rsidP="008C6705">
      <w:r w:rsidRPr="008C6705">
        <w:t>performance indicators</w:t>
      </w:r>
      <w:r w:rsidR="00451106">
        <w:t xml:space="preserve">: </w:t>
      </w:r>
      <w:r w:rsidR="00451106" w:rsidRPr="00451106">
        <w:t>metrics that measure performance or the achievement of targets</w:t>
      </w:r>
      <w:r w:rsidR="00451106">
        <w:t xml:space="preserve">. </w:t>
      </w:r>
    </w:p>
    <w:p w14:paraId="5E1606CC" w14:textId="77777777" w:rsidR="008C6705" w:rsidRPr="008C6705" w:rsidRDefault="008C6705" w:rsidP="008C6705"/>
    <w:p w14:paraId="1478B7D3" w14:textId="299BB88B" w:rsidR="00E91067" w:rsidRDefault="00451106" w:rsidP="00E91067">
      <w:r>
        <w:t xml:space="preserve">An organization’s risk </w:t>
      </w:r>
      <w:r w:rsidR="00E91067">
        <w:t xml:space="preserve">exposure </w:t>
      </w:r>
      <w:proofErr w:type="gramStart"/>
      <w:r w:rsidR="00E91067">
        <w:t>arise</w:t>
      </w:r>
      <w:proofErr w:type="gramEnd"/>
      <w:r w:rsidR="00E91067">
        <w:t xml:space="preserve"> from its unique </w:t>
      </w:r>
      <w:r w:rsidR="00E91067" w:rsidRPr="00E91067">
        <w:t>business activities, corporate strategy and culture</w:t>
      </w:r>
      <w:r w:rsidR="00E91067">
        <w:t xml:space="preserve">. </w:t>
      </w:r>
      <w:proofErr w:type="gramStart"/>
      <w:r w:rsidR="00E91067">
        <w:t>So</w:t>
      </w:r>
      <w:proofErr w:type="gramEnd"/>
      <w:r w:rsidR="00E91067">
        <w:t xml:space="preserve"> </w:t>
      </w:r>
      <w:r w:rsidR="00E91067" w:rsidRPr="00E91067">
        <w:t>the set of indicators which measure and monitor that exposure level are likely to be different</w:t>
      </w:r>
      <w:r w:rsidR="00E91067">
        <w:t>.</w:t>
      </w:r>
    </w:p>
    <w:p w14:paraId="56037939" w14:textId="5E4E598B" w:rsidR="00E91067" w:rsidRDefault="00E91067" w:rsidP="00E91067"/>
    <w:p w14:paraId="7ECE2187" w14:textId="131BA3AA" w:rsidR="00E91067" w:rsidRDefault="00E91067" w:rsidP="00E9106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to use</w:t>
      </w:r>
      <w:r w:rsidR="00756E6E">
        <w:rPr>
          <w:rFonts w:ascii="Times New Roman" w:eastAsia="Times New Roman" w:hAnsi="Times New Roman" w:cs="Times New Roman"/>
        </w:rPr>
        <w:t xml:space="preserve"> risk indicator</w:t>
      </w:r>
    </w:p>
    <w:p w14:paraId="292D839B" w14:textId="7F552312" w:rsidR="00E91067" w:rsidRPr="00E91067" w:rsidRDefault="00E91067" w:rsidP="00E91067">
      <w:pPr>
        <w:pStyle w:val="ListParagraph"/>
        <w:numPr>
          <w:ilvl w:val="0"/>
          <w:numId w:val="2"/>
        </w:numPr>
        <w:rPr>
          <w:rFonts w:ascii="Times New Roman" w:eastAsia="Times New Roman" w:hAnsi="Times New Roman" w:cs="Times New Roman"/>
        </w:rPr>
      </w:pPr>
      <w:r w:rsidRPr="00E91067">
        <w:rPr>
          <w:rFonts w:ascii="Times New Roman" w:eastAsia="Times New Roman" w:hAnsi="Times New Roman" w:cs="Times New Roman"/>
        </w:rPr>
        <w:t>Risk monitoring</w:t>
      </w:r>
    </w:p>
    <w:p w14:paraId="25FAB18E" w14:textId="77777777" w:rsidR="00756E6E" w:rsidRDefault="00756E6E" w:rsidP="00756E6E">
      <w:r>
        <w:lastRenderedPageBreak/>
        <w:t>Emerging risk trends and issues on the horizon that may need to be addressed (via ‘leading’</w:t>
      </w:r>
    </w:p>
    <w:p w14:paraId="1D7A5181" w14:textId="77777777" w:rsidR="00756E6E" w:rsidRDefault="00756E6E" w:rsidP="00756E6E">
      <w:r>
        <w:t>indicators</w:t>
      </w:r>
      <w:proofErr w:type="gramStart"/>
      <w:r>
        <w:t>);</w:t>
      </w:r>
      <w:proofErr w:type="gramEnd"/>
    </w:p>
    <w:p w14:paraId="78958F30" w14:textId="77777777" w:rsidR="00756E6E" w:rsidRDefault="00756E6E" w:rsidP="00756E6E">
      <w:r>
        <w:t>• Current exposure levels; and</w:t>
      </w:r>
    </w:p>
    <w:p w14:paraId="1CA30FAA" w14:textId="77777777" w:rsidR="00756E6E" w:rsidRDefault="00756E6E" w:rsidP="00756E6E">
      <w:r>
        <w:t xml:space="preserve">• Events that may have </w:t>
      </w:r>
      <w:proofErr w:type="spellStart"/>
      <w:r>
        <w:t>materialised</w:t>
      </w:r>
      <w:proofErr w:type="spellEnd"/>
      <w:r>
        <w:t xml:space="preserve"> in the past and which could occur again (via ‘lagging’</w:t>
      </w:r>
    </w:p>
    <w:p w14:paraId="4FCB144E" w14:textId="31547420" w:rsidR="00FE6303" w:rsidRDefault="00756E6E" w:rsidP="00756E6E">
      <w:r>
        <w:t>indicators).</w:t>
      </w:r>
    </w:p>
    <w:p w14:paraId="7989D96F" w14:textId="77777777" w:rsidR="00756E6E" w:rsidRPr="00756E6E" w:rsidRDefault="00756E6E" w:rsidP="00756E6E">
      <w:r w:rsidRPr="00756E6E">
        <w:t>The frequency with which an indicator is measured is an important factor</w:t>
      </w:r>
    </w:p>
    <w:p w14:paraId="4C266262" w14:textId="7E942FDF" w:rsidR="009354DD" w:rsidRPr="009354DD" w:rsidRDefault="009354DD" w:rsidP="009354DD">
      <w:pPr>
        <w:pStyle w:val="ListParagraph"/>
        <w:numPr>
          <w:ilvl w:val="0"/>
          <w:numId w:val="2"/>
        </w:numPr>
        <w:rPr>
          <w:rFonts w:ascii="Times New Roman" w:eastAsia="Times New Roman" w:hAnsi="Times New Roman" w:cs="Times New Roman"/>
        </w:rPr>
      </w:pPr>
      <w:r w:rsidRPr="009354DD">
        <w:rPr>
          <w:rFonts w:ascii="Times New Roman" w:eastAsia="Times New Roman" w:hAnsi="Times New Roman" w:cs="Times New Roman"/>
        </w:rPr>
        <w:t xml:space="preserve">Support Operational Risk Assessments </w:t>
      </w:r>
      <w:r w:rsidRPr="009354DD">
        <w:rPr>
          <w:rFonts w:ascii="Times New Roman" w:eastAsia="Times New Roman" w:hAnsi="Times New Roman" w:cs="Times New Roman"/>
        </w:rPr>
        <w:t xml:space="preserve">and </w:t>
      </w:r>
      <w:r w:rsidRPr="009354DD">
        <w:rPr>
          <w:rFonts w:ascii="Times New Roman" w:eastAsia="Times New Roman" w:hAnsi="Times New Roman" w:cs="Times New Roman"/>
        </w:rPr>
        <w:t>track</w:t>
      </w:r>
      <w:r w:rsidRPr="009354DD">
        <w:rPr>
          <w:rFonts w:ascii="Times New Roman" w:eastAsia="Times New Roman" w:hAnsi="Times New Roman" w:cs="Times New Roman"/>
        </w:rPr>
        <w:t xml:space="preserve"> </w:t>
      </w:r>
      <w:r w:rsidRPr="009354DD">
        <w:rPr>
          <w:rFonts w:ascii="Times New Roman" w:eastAsia="Times New Roman" w:hAnsi="Times New Roman" w:cs="Times New Roman"/>
        </w:rPr>
        <w:t>risk exposures</w:t>
      </w:r>
    </w:p>
    <w:p w14:paraId="02F63EDC" w14:textId="77777777" w:rsidR="009354DD" w:rsidRPr="009354DD" w:rsidRDefault="009354DD" w:rsidP="009354DD">
      <w:pPr>
        <w:pStyle w:val="ListParagraph"/>
        <w:numPr>
          <w:ilvl w:val="0"/>
          <w:numId w:val="2"/>
        </w:numPr>
        <w:rPr>
          <w:rFonts w:ascii="Times New Roman" w:eastAsia="Times New Roman" w:hAnsi="Times New Roman" w:cs="Times New Roman"/>
        </w:rPr>
      </w:pPr>
      <w:r w:rsidRPr="009354DD">
        <w:rPr>
          <w:rFonts w:ascii="Times New Roman" w:eastAsia="Times New Roman" w:hAnsi="Times New Roman" w:cs="Times New Roman"/>
        </w:rPr>
        <w:t>Indicators, Risk Appetite and Governance</w:t>
      </w:r>
    </w:p>
    <w:p w14:paraId="09A24378" w14:textId="77777777" w:rsidR="009354DD" w:rsidRPr="009354DD" w:rsidRDefault="009354DD" w:rsidP="009354DD">
      <w:pPr>
        <w:pStyle w:val="ListParagraph"/>
        <w:numPr>
          <w:ilvl w:val="0"/>
          <w:numId w:val="2"/>
        </w:numPr>
        <w:rPr>
          <w:rFonts w:ascii="Times New Roman" w:eastAsia="Times New Roman" w:hAnsi="Times New Roman" w:cs="Times New Roman"/>
        </w:rPr>
      </w:pPr>
      <w:r w:rsidRPr="009354DD">
        <w:rPr>
          <w:rFonts w:ascii="Times New Roman" w:eastAsia="Times New Roman" w:hAnsi="Times New Roman" w:cs="Times New Roman"/>
        </w:rPr>
        <w:t xml:space="preserve">Performance Management and Strategic Management </w:t>
      </w:r>
    </w:p>
    <w:p w14:paraId="188BB8B5" w14:textId="77777777" w:rsidR="009354DD" w:rsidRPr="009354DD" w:rsidRDefault="009354DD" w:rsidP="009354DD">
      <w:pPr>
        <w:pStyle w:val="ListParagraph"/>
        <w:numPr>
          <w:ilvl w:val="0"/>
          <w:numId w:val="2"/>
        </w:numPr>
        <w:rPr>
          <w:rFonts w:ascii="Times New Roman" w:eastAsia="Times New Roman" w:hAnsi="Times New Roman" w:cs="Times New Roman"/>
        </w:rPr>
      </w:pPr>
      <w:r w:rsidRPr="009354DD">
        <w:rPr>
          <w:rFonts w:ascii="Times New Roman" w:eastAsia="Times New Roman" w:hAnsi="Times New Roman" w:cs="Times New Roman"/>
        </w:rPr>
        <w:t xml:space="preserve">Regulation and Capital Assessments </w:t>
      </w:r>
    </w:p>
    <w:p w14:paraId="7DED42EF" w14:textId="482E336D" w:rsidR="009354DD" w:rsidRDefault="009354DD" w:rsidP="009354DD"/>
    <w:p w14:paraId="2F77BB3C" w14:textId="1F56B016" w:rsidR="009354DD" w:rsidRDefault="009354DD" w:rsidP="009354DD">
      <w:pPr>
        <w:pBdr>
          <w:bottom w:val="single" w:sz="12" w:space="1" w:color="auto"/>
        </w:pBdr>
      </w:pPr>
    </w:p>
    <w:p w14:paraId="1BF9EFAD" w14:textId="7E209C67" w:rsidR="009354DD" w:rsidRDefault="009354DD" w:rsidP="009354DD">
      <w:r>
        <w:t>Boundary and threshold</w:t>
      </w:r>
    </w:p>
    <w:p w14:paraId="317E2A97" w14:textId="77777777" w:rsidR="009354DD" w:rsidRPr="009354DD" w:rsidRDefault="009354DD" w:rsidP="009354DD">
      <w:r w:rsidRPr="009354DD">
        <w:t xml:space="preserve">This implies that the </w:t>
      </w:r>
      <w:proofErr w:type="spellStart"/>
      <w:r w:rsidRPr="009354DD">
        <w:t>organisation</w:t>
      </w:r>
      <w:proofErr w:type="spellEnd"/>
      <w:r w:rsidRPr="009354DD">
        <w:t xml:space="preserve"> should periodically review not just the indicators it is using, but the thresholds applied to those indicators. However, if the thresholds are too narrow, they will result in false alerts and then over time, people ignoring the alerts altogether. Too broad, on the other hand, and the </w:t>
      </w:r>
      <w:proofErr w:type="spellStart"/>
      <w:r w:rsidRPr="009354DD">
        <w:t>organisation</w:t>
      </w:r>
      <w:proofErr w:type="spellEnd"/>
      <w:r w:rsidRPr="009354DD">
        <w:t xml:space="preserve"> learns too late that a major issue has suddenly emerged, with potentially significant adverse consequences. </w:t>
      </w:r>
    </w:p>
    <w:p w14:paraId="441D1A1F" w14:textId="5034C024" w:rsidR="009354DD" w:rsidRDefault="009354DD" w:rsidP="009354DD"/>
    <w:p w14:paraId="0C4FA879" w14:textId="77777777" w:rsidR="009354DD" w:rsidRPr="009354DD" w:rsidRDefault="009354DD" w:rsidP="009354DD">
      <w:r w:rsidRPr="009354DD">
        <w:t xml:space="preserve">Thresholds, Limits and Escalation Triggers </w:t>
      </w:r>
    </w:p>
    <w:p w14:paraId="12BC0464" w14:textId="66FEEB11" w:rsidR="009354DD" w:rsidRDefault="009354DD" w:rsidP="009354DD"/>
    <w:p w14:paraId="159C7124" w14:textId="77777777" w:rsidR="005238C5" w:rsidRPr="005238C5" w:rsidRDefault="005238C5" w:rsidP="005238C5">
      <w:r w:rsidRPr="005238C5">
        <w:t xml:space="preserve">From a governance perspective it is recommended that the process to add, change or remove specific indicators is evidenced by proper documentation, including who needs to do what </w:t>
      </w:r>
      <w:proofErr w:type="gramStart"/>
      <w:r w:rsidRPr="005238C5">
        <w:t>with regard to</w:t>
      </w:r>
      <w:proofErr w:type="gramEnd"/>
      <w:r w:rsidRPr="005238C5">
        <w:t xml:space="preserve"> existing data, the collection of new data and changes to reports. </w:t>
      </w:r>
    </w:p>
    <w:p w14:paraId="5C8CE575" w14:textId="2DAD234F" w:rsidR="009354DD" w:rsidRDefault="009354DD" w:rsidP="009354DD"/>
    <w:p w14:paraId="40E4D05D" w14:textId="77777777" w:rsidR="005238C5" w:rsidRPr="005238C5" w:rsidRDefault="005238C5" w:rsidP="005238C5">
      <w:r w:rsidRPr="005238C5">
        <w:t>Indicator Dimensions and “Buckets”</w:t>
      </w:r>
    </w:p>
    <w:p w14:paraId="56E9CA0F" w14:textId="77777777" w:rsidR="005238C5" w:rsidRPr="005238C5" w:rsidRDefault="005238C5" w:rsidP="005238C5">
      <w:r w:rsidRPr="005238C5">
        <w:t xml:space="preserve">The indicator data collected by an </w:t>
      </w:r>
      <w:proofErr w:type="spellStart"/>
      <w:r w:rsidRPr="005238C5">
        <w:t>organisation</w:t>
      </w:r>
      <w:proofErr w:type="spellEnd"/>
      <w:r w:rsidRPr="005238C5">
        <w:t xml:space="preserve"> should usually be sub-divided into some form of subgrouping, such as: customer type; transaction type; location; product type; </w:t>
      </w:r>
      <w:proofErr w:type="spellStart"/>
      <w:r w:rsidRPr="005238C5">
        <w:t>etc</w:t>
      </w:r>
      <w:proofErr w:type="spellEnd"/>
    </w:p>
    <w:p w14:paraId="66304E23" w14:textId="61F97990" w:rsidR="005238C5" w:rsidRDefault="005238C5" w:rsidP="009354DD">
      <w:pPr>
        <w:pBdr>
          <w:bottom w:val="single" w:sz="12" w:space="1" w:color="auto"/>
        </w:pBdr>
      </w:pPr>
    </w:p>
    <w:p w14:paraId="563A38AE" w14:textId="4506C1FE" w:rsidR="005238C5" w:rsidRDefault="005238C5" w:rsidP="009354DD">
      <w:r>
        <w:t>Reporting</w:t>
      </w:r>
    </w:p>
    <w:p w14:paraId="2F4CF92D" w14:textId="37000D43" w:rsidR="005238C5" w:rsidRDefault="005238C5" w:rsidP="009354DD"/>
    <w:p w14:paraId="18099BFC" w14:textId="43B1C174" w:rsidR="005238C5" w:rsidRDefault="005238C5" w:rsidP="009354DD">
      <w:pPr>
        <w:pBdr>
          <w:bottom w:val="single" w:sz="12" w:space="1" w:color="auto"/>
        </w:pBdr>
      </w:pPr>
    </w:p>
    <w:p w14:paraId="11D87B0A" w14:textId="77777777" w:rsidR="005238C5" w:rsidRPr="005238C5" w:rsidRDefault="005238C5" w:rsidP="005238C5">
      <w:proofErr w:type="spellStart"/>
      <w:r w:rsidRPr="005238C5">
        <w:t>Prioritising</w:t>
      </w:r>
      <w:proofErr w:type="spellEnd"/>
      <w:r w:rsidRPr="005238C5">
        <w:t xml:space="preserve"> Risk Indicators </w:t>
      </w:r>
    </w:p>
    <w:p w14:paraId="0E40756A" w14:textId="7399E3C0" w:rsidR="005238C5" w:rsidRDefault="005238C5" w:rsidP="009354DD"/>
    <w:p w14:paraId="71C33AED" w14:textId="69B891CD" w:rsidR="00FD58A1" w:rsidRDefault="00FD58A1" w:rsidP="009354DD"/>
    <w:p w14:paraId="68BE617A" w14:textId="6AAE76C2" w:rsidR="00FD58A1" w:rsidRDefault="00FD58A1" w:rsidP="009354DD"/>
    <w:p w14:paraId="6B65698B" w14:textId="1D387586" w:rsidR="00FD58A1" w:rsidRDefault="00FD58A1" w:rsidP="00FD58A1">
      <w:r w:rsidRPr="00FD58A1">
        <w:t>lists of operational risk categories</w:t>
      </w:r>
    </w:p>
    <w:p w14:paraId="1A015E83" w14:textId="36FB6801" w:rsidR="00F4687A" w:rsidRDefault="00F4687A" w:rsidP="00FD58A1">
      <w:hyperlink r:id="rId5" w:history="1">
        <w:r w:rsidRPr="004D2945">
          <w:rPr>
            <w:rStyle w:val="Hyperlink"/>
          </w:rPr>
          <w:t>https://www.cia-ica.ca/docs/default-source/2014/214118e.pdf</w:t>
        </w:r>
      </w:hyperlink>
    </w:p>
    <w:p w14:paraId="39DFE485" w14:textId="77777777" w:rsidR="00F4687A" w:rsidRPr="00FD58A1" w:rsidRDefault="00F4687A" w:rsidP="00FD58A1"/>
    <w:p w14:paraId="56D53F08" w14:textId="159C0354" w:rsidR="00F4687A" w:rsidRPr="00F4687A" w:rsidRDefault="00F4687A" w:rsidP="00F4687A">
      <w:r>
        <w:t xml:space="preserve">Basel II risk </w:t>
      </w:r>
      <w:proofErr w:type="gramStart"/>
      <w:r>
        <w:t>events</w:t>
      </w:r>
      <w:proofErr w:type="gramEnd"/>
      <w:r>
        <w:t xml:space="preserve"> </w:t>
      </w:r>
      <w:r w:rsidRPr="00F4687A">
        <w:t>types</w:t>
      </w:r>
      <w:r>
        <w:t>:</w:t>
      </w:r>
    </w:p>
    <w:p w14:paraId="52434064" w14:textId="0AD2A099" w:rsidR="00F4687A" w:rsidRPr="00F4687A" w:rsidRDefault="00F4687A" w:rsidP="00F4687A">
      <w:r w:rsidRPr="00F4687A">
        <w:t>•</w:t>
      </w:r>
      <w:r>
        <w:t xml:space="preserve"> </w:t>
      </w:r>
      <w:r w:rsidRPr="00F4687A">
        <w:t xml:space="preserve">Internal </w:t>
      </w:r>
      <w:proofErr w:type="gramStart"/>
      <w:r w:rsidRPr="00F4687A">
        <w:t>fraud;</w:t>
      </w:r>
      <w:proofErr w:type="gramEnd"/>
      <w:r w:rsidRPr="00F4687A">
        <w:t xml:space="preserve"> </w:t>
      </w:r>
    </w:p>
    <w:p w14:paraId="155A0644" w14:textId="77777777" w:rsidR="00F4687A" w:rsidRDefault="00F4687A" w:rsidP="00F4687A">
      <w:r w:rsidRPr="00F4687A">
        <w:t xml:space="preserve">• External </w:t>
      </w:r>
      <w:proofErr w:type="gramStart"/>
      <w:r w:rsidRPr="00F4687A">
        <w:t>fraud;</w:t>
      </w:r>
      <w:proofErr w:type="gramEnd"/>
      <w:r w:rsidRPr="00F4687A">
        <w:t xml:space="preserve"> </w:t>
      </w:r>
    </w:p>
    <w:p w14:paraId="0F729CB1" w14:textId="77777777" w:rsidR="00F4687A" w:rsidRDefault="00F4687A" w:rsidP="00F4687A">
      <w:r w:rsidRPr="00F4687A">
        <w:t xml:space="preserve">• Employment practices and workplace </w:t>
      </w:r>
      <w:proofErr w:type="gramStart"/>
      <w:r w:rsidRPr="00F4687A">
        <w:t>safety;</w:t>
      </w:r>
      <w:proofErr w:type="gramEnd"/>
      <w:r w:rsidRPr="00F4687A">
        <w:t xml:space="preserve"> </w:t>
      </w:r>
    </w:p>
    <w:p w14:paraId="6EFCFE76" w14:textId="77777777" w:rsidR="00F4687A" w:rsidRDefault="00F4687A" w:rsidP="00F4687A">
      <w:r w:rsidRPr="00F4687A">
        <w:t xml:space="preserve">• Clients, products and business </w:t>
      </w:r>
      <w:proofErr w:type="gramStart"/>
      <w:r w:rsidRPr="00F4687A">
        <w:t>practices;</w:t>
      </w:r>
      <w:proofErr w:type="gramEnd"/>
      <w:r w:rsidRPr="00F4687A">
        <w:t xml:space="preserve"> </w:t>
      </w:r>
    </w:p>
    <w:p w14:paraId="6D4DB3D7" w14:textId="77777777" w:rsidR="00F4687A" w:rsidRDefault="00F4687A" w:rsidP="00F4687A">
      <w:r w:rsidRPr="00F4687A">
        <w:t xml:space="preserve">• Damage to physical </w:t>
      </w:r>
      <w:proofErr w:type="gramStart"/>
      <w:r w:rsidRPr="00F4687A">
        <w:t>assets;</w:t>
      </w:r>
      <w:proofErr w:type="gramEnd"/>
      <w:r w:rsidRPr="00F4687A">
        <w:t xml:space="preserve"> </w:t>
      </w:r>
    </w:p>
    <w:p w14:paraId="6C1895CA" w14:textId="70C809E8" w:rsidR="00F4687A" w:rsidRDefault="00F4687A" w:rsidP="00F4687A">
      <w:r w:rsidRPr="00F4687A">
        <w:t xml:space="preserve">• Business disruption and system </w:t>
      </w:r>
      <w:proofErr w:type="gramStart"/>
      <w:r w:rsidRPr="00F4687A">
        <w:t>failures</w:t>
      </w:r>
      <w:r>
        <w:t>;</w:t>
      </w:r>
      <w:proofErr w:type="gramEnd"/>
    </w:p>
    <w:p w14:paraId="0204C9B3" w14:textId="58F93950" w:rsidR="00F4687A" w:rsidRPr="00F4687A" w:rsidRDefault="00F4687A" w:rsidP="00F4687A">
      <w:r w:rsidRPr="00F4687A">
        <w:lastRenderedPageBreak/>
        <w:t xml:space="preserve">• Execution, </w:t>
      </w:r>
      <w:proofErr w:type="gramStart"/>
      <w:r w:rsidRPr="00F4687A">
        <w:t>delivery</w:t>
      </w:r>
      <w:proofErr w:type="gramEnd"/>
      <w:r w:rsidRPr="00F4687A">
        <w:t xml:space="preserve"> and process management</w:t>
      </w:r>
    </w:p>
    <w:p w14:paraId="420EF0D4" w14:textId="65D1BDDC" w:rsidR="00FD58A1" w:rsidRDefault="00FD58A1" w:rsidP="009354DD"/>
    <w:p w14:paraId="3A6D9669" w14:textId="19300CCB" w:rsidR="00F4687A" w:rsidRDefault="00F4687A" w:rsidP="009354DD"/>
    <w:p w14:paraId="636788A2" w14:textId="5C7491E0" w:rsidR="00F4687A" w:rsidRDefault="00F4687A" w:rsidP="00F4687A">
      <w:pPr>
        <w:pStyle w:val="ListParagraph"/>
        <w:numPr>
          <w:ilvl w:val="0"/>
          <w:numId w:val="1"/>
        </w:numPr>
      </w:pPr>
      <w:r>
        <w:t>Labeling function 1</w:t>
      </w:r>
    </w:p>
    <w:p w14:paraId="68E7DDAE" w14:textId="36D9E6DE" w:rsidR="00F4687A" w:rsidRDefault="00F4687A" w:rsidP="00F4687A">
      <w:r w:rsidRPr="00F4687A">
        <w:t>https://www.sciencedirect.com/science/article/pii/S1877050918318982</w:t>
      </w:r>
    </w:p>
    <w:p w14:paraId="6CCB76EC" w14:textId="77777777" w:rsidR="00F4687A" w:rsidRDefault="00F4687A" w:rsidP="009354DD"/>
    <w:p w14:paraId="25F701CA" w14:textId="77777777" w:rsidR="00F4687A" w:rsidRDefault="00F4687A" w:rsidP="009354DD"/>
    <w:p w14:paraId="03BABD9A" w14:textId="77777777" w:rsidR="00FD58A1" w:rsidRDefault="00FD58A1" w:rsidP="009354DD"/>
    <w:p w14:paraId="7BCE04BF" w14:textId="77777777" w:rsidR="005238C5" w:rsidRPr="009354DD" w:rsidRDefault="005238C5" w:rsidP="009354DD"/>
    <w:p w14:paraId="49BEDEE7" w14:textId="77991C5B" w:rsidR="009354DD" w:rsidRPr="009354DD" w:rsidRDefault="009354DD" w:rsidP="009354DD"/>
    <w:p w14:paraId="0FF7C3EC" w14:textId="6B9D44D0" w:rsidR="00756E6E" w:rsidRDefault="00756E6E" w:rsidP="00756E6E"/>
    <w:p w14:paraId="0B65C1A6" w14:textId="77777777" w:rsidR="009354DD" w:rsidRDefault="009354DD" w:rsidP="00756E6E"/>
    <w:p w14:paraId="5ECBB08D" w14:textId="77777777" w:rsidR="00480465" w:rsidRDefault="00480465" w:rsidP="00480465">
      <w:pPr>
        <w:pStyle w:val="NormalWeb"/>
        <w:shd w:val="clear" w:color="auto" w:fill="FFFFFF"/>
        <w:rPr>
          <w:rFonts w:ascii="Noto Sans" w:hAnsi="Noto Sans"/>
          <w:color w:val="161B3D"/>
          <w:sz w:val="29"/>
          <w:szCs w:val="29"/>
        </w:rPr>
      </w:pPr>
      <w:r>
        <w:rPr>
          <w:rStyle w:val="Strong"/>
          <w:rFonts w:ascii="Noto Sans" w:hAnsi="Noto Sans"/>
          <w:color w:val="161B3D"/>
          <w:sz w:val="29"/>
          <w:szCs w:val="29"/>
        </w:rPr>
        <w:t>8K Forms</w:t>
      </w:r>
    </w:p>
    <w:p w14:paraId="4741097C" w14:textId="77777777" w:rsidR="00480465" w:rsidRDefault="00480465" w:rsidP="00480465">
      <w:pPr>
        <w:pStyle w:val="NormalWeb"/>
        <w:shd w:val="clear" w:color="auto" w:fill="FFFFFF"/>
        <w:rPr>
          <w:rFonts w:ascii="Noto Sans" w:hAnsi="Noto Sans"/>
          <w:color w:val="161B3D"/>
          <w:sz w:val="29"/>
          <w:szCs w:val="29"/>
        </w:rPr>
      </w:pPr>
      <w:r>
        <w:rPr>
          <w:rFonts w:ascii="Noto Sans" w:hAnsi="Noto Sans"/>
          <w:color w:val="161B3D"/>
          <w:sz w:val="29"/>
          <w:szCs w:val="29"/>
        </w:rPr>
        <w:t>The Form 8-K is what a company uses to disclose significant developments that occur between filings of the Form 10-K or Form 10-Q. Major organizational/company events that would necessitate the filing of a Form 8-K include bankruptcies or receiverships, material impairments, completion of acquisition or disposition of assets, and departures or appointments of executives.</w:t>
      </w:r>
    </w:p>
    <w:p w14:paraId="2515A1FB" w14:textId="77777777" w:rsidR="00480465" w:rsidRDefault="00480465" w:rsidP="00480465"/>
    <w:p w14:paraId="39140593" w14:textId="77777777" w:rsidR="009354DD" w:rsidRDefault="009354DD" w:rsidP="00756E6E"/>
    <w:sectPr w:rsidR="009354DD" w:rsidSect="00FE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36C6"/>
    <w:multiLevelType w:val="hybridMultilevel"/>
    <w:tmpl w:val="480A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704A1"/>
    <w:multiLevelType w:val="hybridMultilevel"/>
    <w:tmpl w:val="333A9B06"/>
    <w:lvl w:ilvl="0" w:tplc="9EA823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03"/>
    <w:rsid w:val="00451106"/>
    <w:rsid w:val="00480465"/>
    <w:rsid w:val="005238C5"/>
    <w:rsid w:val="00756E6E"/>
    <w:rsid w:val="008C6705"/>
    <w:rsid w:val="009354DD"/>
    <w:rsid w:val="00B27766"/>
    <w:rsid w:val="00E91067"/>
    <w:rsid w:val="00F4687A"/>
    <w:rsid w:val="00FC2823"/>
    <w:rsid w:val="00FD58A1"/>
    <w:rsid w:val="00FE6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702003"/>
  <w15:chartTrackingRefBased/>
  <w15:docId w15:val="{14F504F8-E662-5047-AE5C-7426F44F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303"/>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F4687A"/>
    <w:rPr>
      <w:color w:val="0563C1" w:themeColor="hyperlink"/>
      <w:u w:val="single"/>
    </w:rPr>
  </w:style>
  <w:style w:type="character" w:styleId="UnresolvedMention">
    <w:name w:val="Unresolved Mention"/>
    <w:basedOn w:val="DefaultParagraphFont"/>
    <w:uiPriority w:val="99"/>
    <w:semiHidden/>
    <w:unhideWhenUsed/>
    <w:rsid w:val="00F4687A"/>
    <w:rPr>
      <w:color w:val="605E5C"/>
      <w:shd w:val="clear" w:color="auto" w:fill="E1DFDD"/>
    </w:rPr>
  </w:style>
  <w:style w:type="paragraph" w:styleId="NormalWeb">
    <w:name w:val="Normal (Web)"/>
    <w:basedOn w:val="Normal"/>
    <w:uiPriority w:val="99"/>
    <w:semiHidden/>
    <w:unhideWhenUsed/>
    <w:rsid w:val="00480465"/>
    <w:pPr>
      <w:spacing w:before="100" w:beforeAutospacing="1" w:after="100" w:afterAutospacing="1"/>
    </w:pPr>
  </w:style>
  <w:style w:type="character" w:styleId="Strong">
    <w:name w:val="Strong"/>
    <w:basedOn w:val="DefaultParagraphFont"/>
    <w:uiPriority w:val="22"/>
    <w:qFormat/>
    <w:rsid w:val="004804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697672">
      <w:bodyDiv w:val="1"/>
      <w:marLeft w:val="0"/>
      <w:marRight w:val="0"/>
      <w:marTop w:val="0"/>
      <w:marBottom w:val="0"/>
      <w:divBdr>
        <w:top w:val="none" w:sz="0" w:space="0" w:color="auto"/>
        <w:left w:val="none" w:sz="0" w:space="0" w:color="auto"/>
        <w:bottom w:val="none" w:sz="0" w:space="0" w:color="auto"/>
        <w:right w:val="none" w:sz="0" w:space="0" w:color="auto"/>
      </w:divBdr>
    </w:div>
    <w:div w:id="380790468">
      <w:bodyDiv w:val="1"/>
      <w:marLeft w:val="0"/>
      <w:marRight w:val="0"/>
      <w:marTop w:val="0"/>
      <w:marBottom w:val="0"/>
      <w:divBdr>
        <w:top w:val="none" w:sz="0" w:space="0" w:color="auto"/>
        <w:left w:val="none" w:sz="0" w:space="0" w:color="auto"/>
        <w:bottom w:val="none" w:sz="0" w:space="0" w:color="auto"/>
        <w:right w:val="none" w:sz="0" w:space="0" w:color="auto"/>
      </w:divBdr>
    </w:div>
    <w:div w:id="450979289">
      <w:bodyDiv w:val="1"/>
      <w:marLeft w:val="0"/>
      <w:marRight w:val="0"/>
      <w:marTop w:val="0"/>
      <w:marBottom w:val="0"/>
      <w:divBdr>
        <w:top w:val="none" w:sz="0" w:space="0" w:color="auto"/>
        <w:left w:val="none" w:sz="0" w:space="0" w:color="auto"/>
        <w:bottom w:val="none" w:sz="0" w:space="0" w:color="auto"/>
        <w:right w:val="none" w:sz="0" w:space="0" w:color="auto"/>
      </w:divBdr>
    </w:div>
    <w:div w:id="466624061">
      <w:bodyDiv w:val="1"/>
      <w:marLeft w:val="0"/>
      <w:marRight w:val="0"/>
      <w:marTop w:val="0"/>
      <w:marBottom w:val="0"/>
      <w:divBdr>
        <w:top w:val="none" w:sz="0" w:space="0" w:color="auto"/>
        <w:left w:val="none" w:sz="0" w:space="0" w:color="auto"/>
        <w:bottom w:val="none" w:sz="0" w:space="0" w:color="auto"/>
        <w:right w:val="none" w:sz="0" w:space="0" w:color="auto"/>
      </w:divBdr>
    </w:div>
    <w:div w:id="560332884">
      <w:bodyDiv w:val="1"/>
      <w:marLeft w:val="0"/>
      <w:marRight w:val="0"/>
      <w:marTop w:val="0"/>
      <w:marBottom w:val="0"/>
      <w:divBdr>
        <w:top w:val="none" w:sz="0" w:space="0" w:color="auto"/>
        <w:left w:val="none" w:sz="0" w:space="0" w:color="auto"/>
        <w:bottom w:val="none" w:sz="0" w:space="0" w:color="auto"/>
        <w:right w:val="none" w:sz="0" w:space="0" w:color="auto"/>
      </w:divBdr>
    </w:div>
    <w:div w:id="569197696">
      <w:bodyDiv w:val="1"/>
      <w:marLeft w:val="0"/>
      <w:marRight w:val="0"/>
      <w:marTop w:val="0"/>
      <w:marBottom w:val="0"/>
      <w:divBdr>
        <w:top w:val="none" w:sz="0" w:space="0" w:color="auto"/>
        <w:left w:val="none" w:sz="0" w:space="0" w:color="auto"/>
        <w:bottom w:val="none" w:sz="0" w:space="0" w:color="auto"/>
        <w:right w:val="none" w:sz="0" w:space="0" w:color="auto"/>
      </w:divBdr>
    </w:div>
    <w:div w:id="594824733">
      <w:bodyDiv w:val="1"/>
      <w:marLeft w:val="0"/>
      <w:marRight w:val="0"/>
      <w:marTop w:val="0"/>
      <w:marBottom w:val="0"/>
      <w:divBdr>
        <w:top w:val="none" w:sz="0" w:space="0" w:color="auto"/>
        <w:left w:val="none" w:sz="0" w:space="0" w:color="auto"/>
        <w:bottom w:val="none" w:sz="0" w:space="0" w:color="auto"/>
        <w:right w:val="none" w:sz="0" w:space="0" w:color="auto"/>
      </w:divBdr>
    </w:div>
    <w:div w:id="608051290">
      <w:bodyDiv w:val="1"/>
      <w:marLeft w:val="0"/>
      <w:marRight w:val="0"/>
      <w:marTop w:val="0"/>
      <w:marBottom w:val="0"/>
      <w:divBdr>
        <w:top w:val="none" w:sz="0" w:space="0" w:color="auto"/>
        <w:left w:val="none" w:sz="0" w:space="0" w:color="auto"/>
        <w:bottom w:val="none" w:sz="0" w:space="0" w:color="auto"/>
        <w:right w:val="none" w:sz="0" w:space="0" w:color="auto"/>
      </w:divBdr>
    </w:div>
    <w:div w:id="773593756">
      <w:bodyDiv w:val="1"/>
      <w:marLeft w:val="0"/>
      <w:marRight w:val="0"/>
      <w:marTop w:val="0"/>
      <w:marBottom w:val="0"/>
      <w:divBdr>
        <w:top w:val="none" w:sz="0" w:space="0" w:color="auto"/>
        <w:left w:val="none" w:sz="0" w:space="0" w:color="auto"/>
        <w:bottom w:val="none" w:sz="0" w:space="0" w:color="auto"/>
        <w:right w:val="none" w:sz="0" w:space="0" w:color="auto"/>
      </w:divBdr>
    </w:div>
    <w:div w:id="878007580">
      <w:bodyDiv w:val="1"/>
      <w:marLeft w:val="0"/>
      <w:marRight w:val="0"/>
      <w:marTop w:val="0"/>
      <w:marBottom w:val="0"/>
      <w:divBdr>
        <w:top w:val="none" w:sz="0" w:space="0" w:color="auto"/>
        <w:left w:val="none" w:sz="0" w:space="0" w:color="auto"/>
        <w:bottom w:val="none" w:sz="0" w:space="0" w:color="auto"/>
        <w:right w:val="none" w:sz="0" w:space="0" w:color="auto"/>
      </w:divBdr>
    </w:div>
    <w:div w:id="1065956769">
      <w:bodyDiv w:val="1"/>
      <w:marLeft w:val="0"/>
      <w:marRight w:val="0"/>
      <w:marTop w:val="0"/>
      <w:marBottom w:val="0"/>
      <w:divBdr>
        <w:top w:val="none" w:sz="0" w:space="0" w:color="auto"/>
        <w:left w:val="none" w:sz="0" w:space="0" w:color="auto"/>
        <w:bottom w:val="none" w:sz="0" w:space="0" w:color="auto"/>
        <w:right w:val="none" w:sz="0" w:space="0" w:color="auto"/>
      </w:divBdr>
    </w:div>
    <w:div w:id="1106536146">
      <w:bodyDiv w:val="1"/>
      <w:marLeft w:val="0"/>
      <w:marRight w:val="0"/>
      <w:marTop w:val="0"/>
      <w:marBottom w:val="0"/>
      <w:divBdr>
        <w:top w:val="none" w:sz="0" w:space="0" w:color="auto"/>
        <w:left w:val="none" w:sz="0" w:space="0" w:color="auto"/>
        <w:bottom w:val="none" w:sz="0" w:space="0" w:color="auto"/>
        <w:right w:val="none" w:sz="0" w:space="0" w:color="auto"/>
      </w:divBdr>
    </w:div>
    <w:div w:id="1185824614">
      <w:bodyDiv w:val="1"/>
      <w:marLeft w:val="0"/>
      <w:marRight w:val="0"/>
      <w:marTop w:val="0"/>
      <w:marBottom w:val="0"/>
      <w:divBdr>
        <w:top w:val="none" w:sz="0" w:space="0" w:color="auto"/>
        <w:left w:val="none" w:sz="0" w:space="0" w:color="auto"/>
        <w:bottom w:val="none" w:sz="0" w:space="0" w:color="auto"/>
        <w:right w:val="none" w:sz="0" w:space="0" w:color="auto"/>
      </w:divBdr>
    </w:div>
    <w:div w:id="1206597133">
      <w:bodyDiv w:val="1"/>
      <w:marLeft w:val="0"/>
      <w:marRight w:val="0"/>
      <w:marTop w:val="0"/>
      <w:marBottom w:val="0"/>
      <w:divBdr>
        <w:top w:val="none" w:sz="0" w:space="0" w:color="auto"/>
        <w:left w:val="none" w:sz="0" w:space="0" w:color="auto"/>
        <w:bottom w:val="none" w:sz="0" w:space="0" w:color="auto"/>
        <w:right w:val="none" w:sz="0" w:space="0" w:color="auto"/>
      </w:divBdr>
    </w:div>
    <w:div w:id="1213880085">
      <w:bodyDiv w:val="1"/>
      <w:marLeft w:val="0"/>
      <w:marRight w:val="0"/>
      <w:marTop w:val="0"/>
      <w:marBottom w:val="0"/>
      <w:divBdr>
        <w:top w:val="none" w:sz="0" w:space="0" w:color="auto"/>
        <w:left w:val="none" w:sz="0" w:space="0" w:color="auto"/>
        <w:bottom w:val="none" w:sz="0" w:space="0" w:color="auto"/>
        <w:right w:val="none" w:sz="0" w:space="0" w:color="auto"/>
      </w:divBdr>
    </w:div>
    <w:div w:id="1286544465">
      <w:bodyDiv w:val="1"/>
      <w:marLeft w:val="0"/>
      <w:marRight w:val="0"/>
      <w:marTop w:val="0"/>
      <w:marBottom w:val="0"/>
      <w:divBdr>
        <w:top w:val="none" w:sz="0" w:space="0" w:color="auto"/>
        <w:left w:val="none" w:sz="0" w:space="0" w:color="auto"/>
        <w:bottom w:val="none" w:sz="0" w:space="0" w:color="auto"/>
        <w:right w:val="none" w:sz="0" w:space="0" w:color="auto"/>
      </w:divBdr>
    </w:div>
    <w:div w:id="1309363922">
      <w:bodyDiv w:val="1"/>
      <w:marLeft w:val="0"/>
      <w:marRight w:val="0"/>
      <w:marTop w:val="0"/>
      <w:marBottom w:val="0"/>
      <w:divBdr>
        <w:top w:val="none" w:sz="0" w:space="0" w:color="auto"/>
        <w:left w:val="none" w:sz="0" w:space="0" w:color="auto"/>
        <w:bottom w:val="none" w:sz="0" w:space="0" w:color="auto"/>
        <w:right w:val="none" w:sz="0" w:space="0" w:color="auto"/>
      </w:divBdr>
    </w:div>
    <w:div w:id="1446996620">
      <w:bodyDiv w:val="1"/>
      <w:marLeft w:val="0"/>
      <w:marRight w:val="0"/>
      <w:marTop w:val="0"/>
      <w:marBottom w:val="0"/>
      <w:divBdr>
        <w:top w:val="none" w:sz="0" w:space="0" w:color="auto"/>
        <w:left w:val="none" w:sz="0" w:space="0" w:color="auto"/>
        <w:bottom w:val="none" w:sz="0" w:space="0" w:color="auto"/>
        <w:right w:val="none" w:sz="0" w:space="0" w:color="auto"/>
      </w:divBdr>
    </w:div>
    <w:div w:id="1518154192">
      <w:bodyDiv w:val="1"/>
      <w:marLeft w:val="0"/>
      <w:marRight w:val="0"/>
      <w:marTop w:val="0"/>
      <w:marBottom w:val="0"/>
      <w:divBdr>
        <w:top w:val="none" w:sz="0" w:space="0" w:color="auto"/>
        <w:left w:val="none" w:sz="0" w:space="0" w:color="auto"/>
        <w:bottom w:val="none" w:sz="0" w:space="0" w:color="auto"/>
        <w:right w:val="none" w:sz="0" w:space="0" w:color="auto"/>
      </w:divBdr>
    </w:div>
    <w:div w:id="1518426974">
      <w:bodyDiv w:val="1"/>
      <w:marLeft w:val="0"/>
      <w:marRight w:val="0"/>
      <w:marTop w:val="0"/>
      <w:marBottom w:val="0"/>
      <w:divBdr>
        <w:top w:val="none" w:sz="0" w:space="0" w:color="auto"/>
        <w:left w:val="none" w:sz="0" w:space="0" w:color="auto"/>
        <w:bottom w:val="none" w:sz="0" w:space="0" w:color="auto"/>
        <w:right w:val="none" w:sz="0" w:space="0" w:color="auto"/>
      </w:divBdr>
    </w:div>
    <w:div w:id="1653292838">
      <w:bodyDiv w:val="1"/>
      <w:marLeft w:val="0"/>
      <w:marRight w:val="0"/>
      <w:marTop w:val="0"/>
      <w:marBottom w:val="0"/>
      <w:divBdr>
        <w:top w:val="none" w:sz="0" w:space="0" w:color="auto"/>
        <w:left w:val="none" w:sz="0" w:space="0" w:color="auto"/>
        <w:bottom w:val="none" w:sz="0" w:space="0" w:color="auto"/>
        <w:right w:val="none" w:sz="0" w:space="0" w:color="auto"/>
      </w:divBdr>
    </w:div>
    <w:div w:id="1709525434">
      <w:bodyDiv w:val="1"/>
      <w:marLeft w:val="0"/>
      <w:marRight w:val="0"/>
      <w:marTop w:val="0"/>
      <w:marBottom w:val="0"/>
      <w:divBdr>
        <w:top w:val="none" w:sz="0" w:space="0" w:color="auto"/>
        <w:left w:val="none" w:sz="0" w:space="0" w:color="auto"/>
        <w:bottom w:val="none" w:sz="0" w:space="0" w:color="auto"/>
        <w:right w:val="none" w:sz="0" w:space="0" w:color="auto"/>
      </w:divBdr>
    </w:div>
    <w:div w:id="1723941852">
      <w:bodyDiv w:val="1"/>
      <w:marLeft w:val="0"/>
      <w:marRight w:val="0"/>
      <w:marTop w:val="0"/>
      <w:marBottom w:val="0"/>
      <w:divBdr>
        <w:top w:val="none" w:sz="0" w:space="0" w:color="auto"/>
        <w:left w:val="none" w:sz="0" w:space="0" w:color="auto"/>
        <w:bottom w:val="none" w:sz="0" w:space="0" w:color="auto"/>
        <w:right w:val="none" w:sz="0" w:space="0" w:color="auto"/>
      </w:divBdr>
    </w:div>
    <w:div w:id="1752040337">
      <w:bodyDiv w:val="1"/>
      <w:marLeft w:val="0"/>
      <w:marRight w:val="0"/>
      <w:marTop w:val="0"/>
      <w:marBottom w:val="0"/>
      <w:divBdr>
        <w:top w:val="none" w:sz="0" w:space="0" w:color="auto"/>
        <w:left w:val="none" w:sz="0" w:space="0" w:color="auto"/>
        <w:bottom w:val="none" w:sz="0" w:space="0" w:color="auto"/>
        <w:right w:val="none" w:sz="0" w:space="0" w:color="auto"/>
      </w:divBdr>
    </w:div>
    <w:div w:id="1769688682">
      <w:bodyDiv w:val="1"/>
      <w:marLeft w:val="0"/>
      <w:marRight w:val="0"/>
      <w:marTop w:val="0"/>
      <w:marBottom w:val="0"/>
      <w:divBdr>
        <w:top w:val="none" w:sz="0" w:space="0" w:color="auto"/>
        <w:left w:val="none" w:sz="0" w:space="0" w:color="auto"/>
        <w:bottom w:val="none" w:sz="0" w:space="0" w:color="auto"/>
        <w:right w:val="none" w:sz="0" w:space="0" w:color="auto"/>
      </w:divBdr>
    </w:div>
    <w:div w:id="1790738292">
      <w:bodyDiv w:val="1"/>
      <w:marLeft w:val="0"/>
      <w:marRight w:val="0"/>
      <w:marTop w:val="0"/>
      <w:marBottom w:val="0"/>
      <w:divBdr>
        <w:top w:val="none" w:sz="0" w:space="0" w:color="auto"/>
        <w:left w:val="none" w:sz="0" w:space="0" w:color="auto"/>
        <w:bottom w:val="none" w:sz="0" w:space="0" w:color="auto"/>
        <w:right w:val="none" w:sz="0" w:space="0" w:color="auto"/>
      </w:divBdr>
    </w:div>
    <w:div w:id="1795055654">
      <w:bodyDiv w:val="1"/>
      <w:marLeft w:val="0"/>
      <w:marRight w:val="0"/>
      <w:marTop w:val="0"/>
      <w:marBottom w:val="0"/>
      <w:divBdr>
        <w:top w:val="none" w:sz="0" w:space="0" w:color="auto"/>
        <w:left w:val="none" w:sz="0" w:space="0" w:color="auto"/>
        <w:bottom w:val="none" w:sz="0" w:space="0" w:color="auto"/>
        <w:right w:val="none" w:sz="0" w:space="0" w:color="auto"/>
      </w:divBdr>
    </w:div>
    <w:div w:id="1795320347">
      <w:bodyDiv w:val="1"/>
      <w:marLeft w:val="0"/>
      <w:marRight w:val="0"/>
      <w:marTop w:val="0"/>
      <w:marBottom w:val="0"/>
      <w:divBdr>
        <w:top w:val="none" w:sz="0" w:space="0" w:color="auto"/>
        <w:left w:val="none" w:sz="0" w:space="0" w:color="auto"/>
        <w:bottom w:val="none" w:sz="0" w:space="0" w:color="auto"/>
        <w:right w:val="none" w:sz="0" w:space="0" w:color="auto"/>
      </w:divBdr>
    </w:div>
    <w:div w:id="1889294119">
      <w:bodyDiv w:val="1"/>
      <w:marLeft w:val="0"/>
      <w:marRight w:val="0"/>
      <w:marTop w:val="0"/>
      <w:marBottom w:val="0"/>
      <w:divBdr>
        <w:top w:val="none" w:sz="0" w:space="0" w:color="auto"/>
        <w:left w:val="none" w:sz="0" w:space="0" w:color="auto"/>
        <w:bottom w:val="none" w:sz="0" w:space="0" w:color="auto"/>
        <w:right w:val="none" w:sz="0" w:space="0" w:color="auto"/>
      </w:divBdr>
    </w:div>
    <w:div w:id="21108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a-ica.ca/docs/default-source/2014/214118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Ma</dc:creator>
  <cp:keywords/>
  <dc:description/>
  <cp:lastModifiedBy>Xinyue Ma</cp:lastModifiedBy>
  <cp:revision>1</cp:revision>
  <dcterms:created xsi:type="dcterms:W3CDTF">2021-08-02T21:08:00Z</dcterms:created>
  <dcterms:modified xsi:type="dcterms:W3CDTF">2021-08-04T18:59:00Z</dcterms:modified>
</cp:coreProperties>
</file>