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Revised Project Proposal</w:t>
      </w:r>
    </w:p>
    <w:p>
      <w:pPr>
        <w:jc w:val="center"/>
      </w:pPr>
      <w:r>
        <w:rPr>
          <w:b/>
          <w:sz w:val="26"/>
        </w:rPr>
        <w:t>Economic Development and Life Expectancy in East Asia and the Pacific</w:t>
      </w:r>
    </w:p>
    <w:p/>
    <w:tbl>
      <w:tblPr>
        <w:tblStyle w:val="TableGrid"/>
        <w:tblW w:type="auto" w:w="0"/>
        <w:tblLayout w:type="fixed"/>
        <w:tblLook w:firstColumn="1" w:firstRow="1" w:lastColumn="0" w:lastRow="0" w:noHBand="0" w:noVBand="1" w:val="04A0"/>
      </w:tblPr>
      <w:tblGrid>
        <w:gridCol w:w="2520"/>
        <w:gridCol w:w="8352"/>
      </w:tblGrid>
      <w:tr>
        <w:tc>
          <w:tcPr>
            <w:tcW w:type="dxa" w:w="4968"/>
            <w:shd w:fill="1F4E78"/>
            <w:vAlign w:val="center"/>
            <w:tcMar>
              <w:top w:w="100" w:type="dxa"/>
              <w:start w:w="120" w:type="dxa"/>
              <w:bottom w:w="100" w:type="dxa"/>
              <w:end w:w="120" w:type="dxa"/>
            </w:tcMar>
          </w:tcPr>
          <w:p>
            <w:r>
              <w:rPr>
                <w:b/>
                <w:color w:val="FFFFFF"/>
              </w:rPr>
              <w:t>Item</w:t>
            </w:r>
          </w:p>
        </w:tc>
        <w:tc>
          <w:tcPr>
            <w:tcW w:type="dxa" w:w="4968"/>
            <w:shd w:fill="1F4E78"/>
            <w:vAlign w:val="center"/>
            <w:tcMar>
              <w:top w:w="100" w:type="dxa"/>
              <w:start w:w="120" w:type="dxa"/>
              <w:bottom w:w="100" w:type="dxa"/>
              <w:end w:w="120" w:type="dxa"/>
            </w:tcMar>
          </w:tcPr>
          <w:p>
            <w:r>
              <w:rPr>
                <w:b/>
                <w:color w:val="FFFFFF"/>
              </w:rPr>
              <w:t>Details</w:t>
            </w:r>
          </w:p>
        </w:tc>
      </w:tr>
      <w:tr>
        <w:tc>
          <w:tcPr>
            <w:tcW w:type="dxa" w:w="2520"/>
            <w:tcMar>
              <w:top w:w="100" w:type="dxa"/>
              <w:start w:w="120" w:type="dxa"/>
              <w:bottom w:w="100" w:type="dxa"/>
              <w:end w:w="120" w:type="dxa"/>
            </w:tcMar>
            <w:vAlign w:val="center"/>
          </w:tcPr>
          <w:p>
            <w:r>
              <w:rPr>
                <w:b/>
              </w:rPr>
              <w:t>Course</w:t>
            </w:r>
          </w:p>
        </w:tc>
        <w:tc>
          <w:tcPr>
            <w:tcW w:type="dxa" w:w="8352"/>
            <w:tcMar>
              <w:top w:w="100" w:type="dxa"/>
              <w:start w:w="120" w:type="dxa"/>
              <w:bottom w:w="100" w:type="dxa"/>
              <w:end w:w="120" w:type="dxa"/>
            </w:tcMar>
            <w:vAlign w:val="center"/>
          </w:tcPr>
          <w:p>
            <w:r>
              <w:t>CISC3015 Data and Information Visualization</w:t>
            </w:r>
          </w:p>
        </w:tc>
      </w:tr>
      <w:tr>
        <w:tc>
          <w:tcPr>
            <w:tcW w:type="dxa" w:w="2520"/>
            <w:tcMar>
              <w:top w:w="100" w:type="dxa"/>
              <w:start w:w="120" w:type="dxa"/>
              <w:bottom w:w="100" w:type="dxa"/>
              <w:end w:w="120" w:type="dxa"/>
            </w:tcMar>
            <w:vAlign w:val="center"/>
          </w:tcPr>
          <w:p>
            <w:r>
              <w:rPr>
                <w:b/>
              </w:rPr>
              <w:t>Assessment</w:t>
            </w:r>
          </w:p>
        </w:tc>
        <w:tc>
          <w:tcPr>
            <w:tcW w:type="dxa" w:w="8352"/>
            <w:tcMar>
              <w:top w:w="100" w:type="dxa"/>
              <w:start w:w="120" w:type="dxa"/>
              <w:bottom w:w="100" w:type="dxa"/>
              <w:end w:w="120" w:type="dxa"/>
            </w:tcMar>
            <w:vAlign w:val="center"/>
          </w:tcPr>
          <w:p>
            <w:r>
              <w:t>Assignment 02 Revised Project Proposal</w:t>
            </w:r>
          </w:p>
        </w:tc>
      </w:tr>
      <w:tr>
        <w:tc>
          <w:tcPr>
            <w:tcW w:type="dxa" w:w="2520"/>
            <w:tcMar>
              <w:top w:w="100" w:type="dxa"/>
              <w:start w:w="120" w:type="dxa"/>
              <w:bottom w:w="100" w:type="dxa"/>
              <w:end w:w="120" w:type="dxa"/>
            </w:tcMar>
            <w:vAlign w:val="center"/>
          </w:tcPr>
          <w:p>
            <w:r>
              <w:rPr>
                <w:b/>
              </w:rPr>
              <w:t>Group status</w:t>
            </w:r>
          </w:p>
        </w:tc>
        <w:tc>
          <w:tcPr>
            <w:tcW w:type="dxa" w:w="8352"/>
            <w:tcMar>
              <w:top w:w="100" w:type="dxa"/>
              <w:start w:w="120" w:type="dxa"/>
              <w:bottom w:w="100" w:type="dxa"/>
              <w:end w:w="120" w:type="dxa"/>
            </w:tcMar>
            <w:vAlign w:val="center"/>
          </w:tcPr>
          <w:p>
            <w:r>
              <w:t>Independent Group (1 Pax)</w:t>
            </w:r>
          </w:p>
        </w:tc>
      </w:tr>
      <w:tr>
        <w:tc>
          <w:tcPr>
            <w:tcW w:type="dxa" w:w="2520"/>
            <w:tcMar>
              <w:top w:w="100" w:type="dxa"/>
              <w:start w:w="120" w:type="dxa"/>
              <w:bottom w:w="100" w:type="dxa"/>
              <w:end w:w="120" w:type="dxa"/>
            </w:tcMar>
            <w:vAlign w:val="center"/>
          </w:tcPr>
          <w:p>
            <w:r>
              <w:rPr>
                <w:b/>
              </w:rPr>
              <w:t>Student</w:t>
            </w:r>
          </w:p>
        </w:tc>
        <w:tc>
          <w:tcPr>
            <w:tcW w:type="dxa" w:w="8352"/>
            <w:tcMar>
              <w:top w:w="100" w:type="dxa"/>
              <w:start w:w="120" w:type="dxa"/>
              <w:bottom w:w="100" w:type="dxa"/>
              <w:end w:w="120" w:type="dxa"/>
            </w:tcMar>
            <w:vAlign w:val="center"/>
          </w:tcPr>
          <w:p>
            <w:r>
              <w:t>SONG XINYUE (宋欣悦)</w:t>
            </w:r>
          </w:p>
        </w:tc>
      </w:tr>
      <w:tr>
        <w:tc>
          <w:tcPr>
            <w:tcW w:type="dxa" w:w="2520"/>
            <w:tcMar>
              <w:top w:w="100" w:type="dxa"/>
              <w:start w:w="120" w:type="dxa"/>
              <w:bottom w:w="100" w:type="dxa"/>
              <w:end w:w="120" w:type="dxa"/>
            </w:tcMar>
            <w:vAlign w:val="center"/>
          </w:tcPr>
          <w:p>
            <w:r>
              <w:rPr>
                <w:b/>
              </w:rPr>
              <w:t>Student ID</w:t>
            </w:r>
          </w:p>
        </w:tc>
        <w:tc>
          <w:tcPr>
            <w:tcW w:type="dxa" w:w="8352"/>
            <w:tcMar>
              <w:top w:w="100" w:type="dxa"/>
              <w:start w:w="120" w:type="dxa"/>
              <w:bottom w:w="100" w:type="dxa"/>
              <w:end w:w="120" w:type="dxa"/>
            </w:tcMar>
            <w:vAlign w:val="center"/>
          </w:tcPr>
          <w:p>
            <w:r>
              <w:t>UC627465</w:t>
            </w:r>
          </w:p>
        </w:tc>
      </w:tr>
      <w:tr>
        <w:tc>
          <w:tcPr>
            <w:tcW w:type="dxa" w:w="2520"/>
            <w:tcMar>
              <w:top w:w="100" w:type="dxa"/>
              <w:start w:w="120" w:type="dxa"/>
              <w:bottom w:w="100" w:type="dxa"/>
              <w:end w:w="120" w:type="dxa"/>
            </w:tcMar>
            <w:vAlign w:val="center"/>
          </w:tcPr>
          <w:p>
            <w:r>
              <w:rPr>
                <w:b/>
              </w:rPr>
              <w:t>Version</w:t>
            </w:r>
          </w:p>
        </w:tc>
        <w:tc>
          <w:tcPr>
            <w:tcW w:type="dxa" w:w="8352"/>
            <w:tcMar>
              <w:top w:w="100" w:type="dxa"/>
              <w:start w:w="120" w:type="dxa"/>
              <w:bottom w:w="100" w:type="dxa"/>
              <w:end w:w="120" w:type="dxa"/>
            </w:tcMar>
            <w:vAlign w:val="center"/>
          </w:tcPr>
          <w:p>
            <w:r>
              <w:t>Final replacement version dated 2026-10-25</w:t>
            </w:r>
          </w:p>
        </w:tc>
      </w:tr>
    </w:tbl>
    <w:p>
      <w:pPr>
        <w:spacing w:before="160"/>
      </w:pPr>
      <w:r>
        <w:rPr>
          <w:b/>
        </w:rPr>
        <w:t xml:space="preserve">Version notice: </w:t>
      </w:r>
      <w:r>
        <w:t>Any previously uploaded Assignment 02 version is void. This document and the accompanying final materials are the valid version for grading.</w:t>
      </w:r>
    </w:p>
    <w:p>
      <w:pPr>
        <w:pStyle w:val="Heading1"/>
      </w:pPr>
      <w:r>
        <w:t>1 Project Background</w:t>
      </w:r>
    </w:p>
    <w:p>
      <w:r>
        <w:t>Economic development is often evaluated through income, but income alone does not show whether people experience longer and healthier lives. Life expectancy reflects a population-level outcome influenced by material conditions, health-system access, education, urbanization, and demographic change. East Asia and the Pacific provides a useful setting for comparison because it includes high-income economies, rapidly industrializing countries, and lower-middle-income economies that have followed different development paths.</w:t>
      </w:r>
    </w:p>
    <w:p>
      <w:r>
        <w:t>This revised proposal develops a focused, reproducible data-visualization project rather than treating the region as a single uniform case. The analysis will compare selected economies across time, describe the main regional patterns, and test whether higher income is associated with higher life expectancy after considering related social and health indicators. The project will be completed as an independent one-person group by SONG XINYUE (UC627465).</w:t>
      </w:r>
    </w:p>
    <w:p>
      <w:pPr>
        <w:pStyle w:val="Heading1"/>
      </w:pPr>
      <w:r>
        <w:t>2 Research Question and Objectives</w:t>
      </w:r>
    </w:p>
    <w:p>
      <w:r>
        <w:t>The main research question is: How are economic development and selected social-health indicators associated with life expectancy in East Asia and the Pacific between 2000 and 2022?</w:t>
      </w:r>
    </w:p>
    <w:p>
      <w:r>
        <w:t>The project has four objectives:</w:t>
      </w:r>
    </w:p>
    <w:p>
      <w:pPr>
        <w:pStyle w:val="ListBullet"/>
        <w:spacing w:after="60"/>
      </w:pPr>
      <w:r>
        <w:t>Describe changes in life expectancy and GDP per capita for selected economies over the study period.</w:t>
      </w:r>
    </w:p>
    <w:p>
      <w:pPr>
        <w:pStyle w:val="ListBullet"/>
        <w:spacing w:after="60"/>
      </w:pPr>
      <w:r>
        <w:t>Compare countries with different development levels and identify visible similarities or contrasts.</w:t>
      </w:r>
    </w:p>
    <w:p>
      <w:pPr>
        <w:pStyle w:val="ListBullet"/>
        <w:spacing w:after="60"/>
      </w:pPr>
      <w:r>
        <w:t>Visualize the relationships between life expectancy, income, urbanization, education, and health expenditure.</w:t>
      </w:r>
    </w:p>
    <w:p>
      <w:pPr>
        <w:pStyle w:val="ListBullet"/>
        <w:spacing w:after="60"/>
      </w:pPr>
      <w:r>
        <w:t>Explain the findings cautiously, distinguishing descriptive association from causal claims.</w:t>
      </w:r>
    </w:p>
    <w:p>
      <w:pPr>
        <w:pStyle w:val="Heading1"/>
      </w:pPr>
      <w:r>
        <w:t>3 Data and Variables</w:t>
      </w:r>
    </w:p>
    <w:p>
      <w:r>
        <w:t>The primary source will be the World Bank Open Data indicator database, supplemented only when a directly comparable official series is required. The unit of analysis will be country-year observations. The initial country set will include China, Japan, the Republic of Korea, Singapore, Malaysia, Thailand, Viet Nam, Indonesia, the Philippines, Australia, and New Zealand. The selection gives the visualizations enough regional diversity while keeping the project readable and reproducible.</w:t>
      </w:r>
    </w:p>
    <w:tbl>
      <w:tblPr>
        <w:tblStyle w:val="TableGrid"/>
        <w:tblW w:type="auto" w:w="0"/>
        <w:tblLayout w:type="fixed"/>
        <w:tblLook w:firstColumn="1" w:firstRow="1" w:lastColumn="0" w:lastRow="0" w:noHBand="0" w:noVBand="1" w:val="04A0"/>
      </w:tblPr>
      <w:tblGrid>
        <w:gridCol w:w="2520"/>
        <w:gridCol w:w="8352"/>
      </w:tblGrid>
      <w:tr>
        <w:tc>
          <w:tcPr>
            <w:tcW w:type="dxa" w:w="4968"/>
            <w:shd w:fill="1F4E78"/>
            <w:vAlign w:val="center"/>
            <w:tcMar>
              <w:top w:w="100" w:type="dxa"/>
              <w:start w:w="120" w:type="dxa"/>
              <w:bottom w:w="100" w:type="dxa"/>
              <w:end w:w="120" w:type="dxa"/>
            </w:tcMar>
          </w:tcPr>
          <w:p>
            <w:r>
              <w:rPr>
                <w:b/>
                <w:color w:val="FFFFFF"/>
              </w:rPr>
              <w:t>Item</w:t>
            </w:r>
          </w:p>
        </w:tc>
        <w:tc>
          <w:tcPr>
            <w:tcW w:type="dxa" w:w="4968"/>
            <w:shd w:fill="1F4E78"/>
            <w:vAlign w:val="center"/>
            <w:tcMar>
              <w:top w:w="100" w:type="dxa"/>
              <w:start w:w="120" w:type="dxa"/>
              <w:bottom w:w="100" w:type="dxa"/>
              <w:end w:w="120" w:type="dxa"/>
            </w:tcMar>
          </w:tcPr>
          <w:p>
            <w:r>
              <w:rPr>
                <w:b/>
                <w:color w:val="FFFFFF"/>
              </w:rPr>
              <w:t>Details</w:t>
            </w:r>
          </w:p>
        </w:tc>
      </w:tr>
      <w:tr>
        <w:tc>
          <w:tcPr>
            <w:tcW w:type="dxa" w:w="2520"/>
            <w:tcMar>
              <w:top w:w="100" w:type="dxa"/>
              <w:start w:w="120" w:type="dxa"/>
              <w:bottom w:w="100" w:type="dxa"/>
              <w:end w:w="120" w:type="dxa"/>
            </w:tcMar>
            <w:vAlign w:val="center"/>
          </w:tcPr>
          <w:p>
            <w:r>
              <w:rPr>
                <w:b/>
              </w:rPr>
              <w:t>Outcome</w:t>
            </w:r>
          </w:p>
        </w:tc>
        <w:tc>
          <w:tcPr>
            <w:tcW w:type="dxa" w:w="8352"/>
            <w:tcMar>
              <w:top w:w="100" w:type="dxa"/>
              <w:start w:w="120" w:type="dxa"/>
              <w:bottom w:w="100" w:type="dxa"/>
              <w:end w:w="120" w:type="dxa"/>
            </w:tcMar>
            <w:vAlign w:val="center"/>
          </w:tcPr>
          <w:p>
            <w:r>
              <w:t>Life expectancy at birth, total years (SP.DYN.LE00.IN)</w:t>
            </w:r>
          </w:p>
        </w:tc>
      </w:tr>
      <w:tr>
        <w:tc>
          <w:tcPr>
            <w:tcW w:type="dxa" w:w="2520"/>
            <w:tcMar>
              <w:top w:w="100" w:type="dxa"/>
              <w:start w:w="120" w:type="dxa"/>
              <w:bottom w:w="100" w:type="dxa"/>
              <w:end w:w="120" w:type="dxa"/>
            </w:tcMar>
            <w:vAlign w:val="center"/>
          </w:tcPr>
          <w:p>
            <w:r>
              <w:rPr>
                <w:b/>
              </w:rPr>
              <w:t>Economic indicator</w:t>
            </w:r>
          </w:p>
        </w:tc>
        <w:tc>
          <w:tcPr>
            <w:tcW w:type="dxa" w:w="8352"/>
            <w:tcMar>
              <w:top w:w="100" w:type="dxa"/>
              <w:start w:w="120" w:type="dxa"/>
              <w:bottom w:w="100" w:type="dxa"/>
              <w:end w:w="120" w:type="dxa"/>
            </w:tcMar>
            <w:vAlign w:val="center"/>
          </w:tcPr>
          <w:p>
            <w:r>
              <w:t>GDP per capita, current US dollars (NY.GDP.PCAP.CD)</w:t>
            </w:r>
          </w:p>
        </w:tc>
      </w:tr>
      <w:tr>
        <w:tc>
          <w:tcPr>
            <w:tcW w:type="dxa" w:w="2520"/>
            <w:tcMar>
              <w:top w:w="100" w:type="dxa"/>
              <w:start w:w="120" w:type="dxa"/>
              <w:bottom w:w="100" w:type="dxa"/>
              <w:end w:w="120" w:type="dxa"/>
            </w:tcMar>
            <w:vAlign w:val="center"/>
          </w:tcPr>
          <w:p>
            <w:r>
              <w:rPr>
                <w:b/>
              </w:rPr>
              <w:t>Health indicator</w:t>
            </w:r>
          </w:p>
        </w:tc>
        <w:tc>
          <w:tcPr>
            <w:tcW w:type="dxa" w:w="8352"/>
            <w:tcMar>
              <w:top w:w="100" w:type="dxa"/>
              <w:start w:w="120" w:type="dxa"/>
              <w:bottom w:w="100" w:type="dxa"/>
              <w:end w:w="120" w:type="dxa"/>
            </w:tcMar>
            <w:vAlign w:val="center"/>
          </w:tcPr>
          <w:p>
            <w:r>
              <w:t>Current health expenditure as a percentage of GDP (SH.XPD.CHEX.GD.ZS)</w:t>
            </w:r>
          </w:p>
        </w:tc>
      </w:tr>
      <w:tr>
        <w:tc>
          <w:tcPr>
            <w:tcW w:type="dxa" w:w="2520"/>
            <w:tcMar>
              <w:top w:w="100" w:type="dxa"/>
              <w:start w:w="120" w:type="dxa"/>
              <w:bottom w:w="100" w:type="dxa"/>
              <w:end w:w="120" w:type="dxa"/>
            </w:tcMar>
            <w:vAlign w:val="center"/>
          </w:tcPr>
          <w:p>
            <w:r>
              <w:rPr>
                <w:b/>
              </w:rPr>
              <w:t>Social indicator</w:t>
            </w:r>
          </w:p>
        </w:tc>
        <w:tc>
          <w:tcPr>
            <w:tcW w:type="dxa" w:w="8352"/>
            <w:tcMar>
              <w:top w:w="100" w:type="dxa"/>
              <w:start w:w="120" w:type="dxa"/>
              <w:bottom w:w="100" w:type="dxa"/>
              <w:end w:w="120" w:type="dxa"/>
            </w:tcMar>
            <w:vAlign w:val="center"/>
          </w:tcPr>
          <w:p>
            <w:r>
              <w:t>Urban population percentage (SP.URB.TOTL.IN.ZS)</w:t>
            </w:r>
          </w:p>
        </w:tc>
      </w:tr>
      <w:tr>
        <w:tc>
          <w:tcPr>
            <w:tcW w:type="dxa" w:w="2520"/>
            <w:tcMar>
              <w:top w:w="100" w:type="dxa"/>
              <w:start w:w="120" w:type="dxa"/>
              <w:bottom w:w="100" w:type="dxa"/>
              <w:end w:w="120" w:type="dxa"/>
            </w:tcMar>
            <w:vAlign w:val="center"/>
          </w:tcPr>
          <w:p>
            <w:r>
              <w:rPr>
                <w:b/>
              </w:rPr>
              <w:t>Optional control</w:t>
            </w:r>
          </w:p>
        </w:tc>
        <w:tc>
          <w:tcPr>
            <w:tcW w:type="dxa" w:w="8352"/>
            <w:tcMar>
              <w:top w:w="100" w:type="dxa"/>
              <w:start w:w="120" w:type="dxa"/>
              <w:bottom w:w="100" w:type="dxa"/>
              <w:end w:w="120" w:type="dxa"/>
            </w:tcMar>
            <w:vAlign w:val="center"/>
          </w:tcPr>
          <w:p>
            <w:r>
              <w:t>Adult literacy rate or a comparable education indicator where coverage is sufficient</w:t>
            </w:r>
          </w:p>
        </w:tc>
      </w:tr>
      <w:tr>
        <w:tc>
          <w:tcPr>
            <w:tcW w:type="dxa" w:w="2520"/>
            <w:tcMar>
              <w:top w:w="100" w:type="dxa"/>
              <w:start w:w="120" w:type="dxa"/>
              <w:bottom w:w="100" w:type="dxa"/>
              <w:end w:w="120" w:type="dxa"/>
            </w:tcMar>
            <w:vAlign w:val="center"/>
          </w:tcPr>
          <w:p>
            <w:r>
              <w:rPr>
                <w:b/>
              </w:rPr>
              <w:t>Time range</w:t>
            </w:r>
          </w:p>
        </w:tc>
        <w:tc>
          <w:tcPr>
            <w:tcW w:type="dxa" w:w="8352"/>
            <w:tcMar>
              <w:top w:w="100" w:type="dxa"/>
              <w:start w:w="120" w:type="dxa"/>
              <w:bottom w:w="100" w:type="dxa"/>
              <w:end w:w="120" w:type="dxa"/>
            </w:tcMar>
            <w:vAlign w:val="center"/>
          </w:tcPr>
          <w:p>
            <w:r>
              <w:t>2000–2022, subject to complete and comparable data coverage</w:t>
            </w:r>
          </w:p>
        </w:tc>
      </w:tr>
    </w:tbl>
    <w:p>
      <w:r>
        <w:t>Before analysis, the data will be reshaped into a tidy country-year table. Country names and codes will be standardized, numeric columns will be converted explicitly, missing values will be reported rather than silently filled, and observations outside the selected period will be removed. If the optional education indicator is too incomplete for a fair comparison, it will be reported as a limitation rather than forced into the model.</w:t>
      </w:r>
    </w:p>
    <w:p>
      <w:pPr>
        <w:pStyle w:val="Heading1"/>
      </w:pPr>
      <w:r>
        <w:t>4 Methods and Visualization Plan</w:t>
      </w:r>
    </w:p>
    <w:p>
      <w:r>
        <w:t>The workflow will use Python with pandas, NumPy, Matplotlib, Seaborn, and Plotly. First, summary tables will establish the number of countries, years, missing observations, and descriptive statistics. Next, time-series charts will show how life expectancy and GDP per capita changed for selected economies. A choropleth or faceted regional chart will provide geographic context without replacing the country-level analysis.</w:t>
      </w:r>
    </w:p>
    <w:p>
      <w:r>
        <w:t>The main relationship will be shown with scatter plots using a logarithmic income axis where appropriate, because GDP per capita is strongly right-skewed. A fitted trend line will summarize the direction of association. Additional color or facet variables will distinguish country groups or time periods. A heatmap of correlations will be used as an exploratory summary, not as proof of causation. Where data coverage allows, a simple multivariable sensitivity analysis will compare the income association before and after adding urbanization and health expenditure.</w:t>
      </w:r>
    </w:p>
    <w:p>
      <w:r>
        <w:t>All charts will have descriptive titles, labeled axes, units, readable legends, and captions that explain the visual message. The project will avoid misleading scales, unnecessary decoration, and unsupported claims. The final discussion will identify data limitations, including indicator definitions, missing observations, exchange-rate effects in current-dollar GDP, and the ecological nature of country-level comparisons.</w:t>
      </w:r>
    </w:p>
    <w:p>
      <w:pPr>
        <w:pStyle w:val="Heading1"/>
      </w:pPr>
      <w:r>
        <w:t>5 Expected Outputs</w:t>
      </w:r>
    </w:p>
    <w:p>
      <w:pPr>
        <w:pStyle w:val="ListBullet"/>
        <w:spacing w:after="60"/>
      </w:pPr>
      <w:r>
        <w:t>A documented Jupyter notebook containing data acquisition, cleaning, exploratory analysis, visualizations, and conclusions.</w:t>
      </w:r>
    </w:p>
    <w:p>
      <w:pPr>
        <w:pStyle w:val="ListBullet"/>
        <w:spacing w:after="60"/>
      </w:pPr>
      <w:r>
        <w:t>A cleaned CSV or equivalent reproducible data table with a data dictionary.</w:t>
      </w:r>
    </w:p>
    <w:p>
      <w:pPr>
        <w:pStyle w:val="ListBullet"/>
        <w:spacing w:after="60"/>
      </w:pPr>
      <w:r>
        <w:t>A concise set of publication-ready figures: time trends, regional comparison, income-life-expectancy relationship, and a sensitivity or correlation view.</w:t>
      </w:r>
    </w:p>
    <w:p>
      <w:pPr>
        <w:pStyle w:val="ListBullet"/>
        <w:spacing w:after="60"/>
      </w:pPr>
      <w:r>
        <w:t>A written interpretation that answers the research question and states limitations clearly.</w:t>
      </w:r>
    </w:p>
    <w:p>
      <w:pPr>
        <w:pStyle w:val="ListBullet"/>
        <w:spacing w:after="60"/>
      </w:pPr>
      <w:r>
        <w:t>A public GitHub project folder containing the notebook, supporting data or data-source instructions, README, and final figures.</w:t>
      </w:r>
    </w:p>
    <w:p>
      <w:pPr>
        <w:pStyle w:val="Heading1"/>
      </w:pPr>
      <w:r>
        <w:t>6 Work Plan</w:t>
      </w:r>
    </w:p>
    <w:tbl>
      <w:tblPr>
        <w:tblStyle w:val="TableGrid"/>
        <w:tblW w:type="auto" w:w="0"/>
        <w:tblLayout w:type="fixed"/>
        <w:tblLook w:firstColumn="1" w:firstRow="1" w:lastColumn="0" w:lastRow="0" w:noHBand="0" w:noVBand="1" w:val="04A0"/>
      </w:tblPr>
      <w:tblGrid>
        <w:gridCol w:w="2520"/>
        <w:gridCol w:w="8352"/>
      </w:tblGrid>
      <w:tr>
        <w:tc>
          <w:tcPr>
            <w:tcW w:type="dxa" w:w="4968"/>
            <w:shd w:fill="1F4E78"/>
            <w:vAlign w:val="center"/>
            <w:tcMar>
              <w:top w:w="100" w:type="dxa"/>
              <w:start w:w="120" w:type="dxa"/>
              <w:bottom w:w="100" w:type="dxa"/>
              <w:end w:w="120" w:type="dxa"/>
            </w:tcMar>
          </w:tcPr>
          <w:p>
            <w:r>
              <w:rPr>
                <w:b/>
                <w:color w:val="FFFFFF"/>
              </w:rPr>
              <w:t>Item</w:t>
            </w:r>
          </w:p>
        </w:tc>
        <w:tc>
          <w:tcPr>
            <w:tcW w:type="dxa" w:w="4968"/>
            <w:shd w:fill="1F4E78"/>
            <w:vAlign w:val="center"/>
            <w:tcMar>
              <w:top w:w="100" w:type="dxa"/>
              <w:start w:w="120" w:type="dxa"/>
              <w:bottom w:w="100" w:type="dxa"/>
              <w:end w:w="120" w:type="dxa"/>
            </w:tcMar>
          </w:tcPr>
          <w:p>
            <w:r>
              <w:rPr>
                <w:b/>
                <w:color w:val="FFFFFF"/>
              </w:rPr>
              <w:t>Details</w:t>
            </w:r>
          </w:p>
        </w:tc>
      </w:tr>
      <w:tr>
        <w:tc>
          <w:tcPr>
            <w:tcW w:type="dxa" w:w="2520"/>
            <w:tcMar>
              <w:top w:w="100" w:type="dxa"/>
              <w:start w:w="120" w:type="dxa"/>
              <w:bottom w:w="100" w:type="dxa"/>
              <w:end w:w="120" w:type="dxa"/>
            </w:tcMar>
            <w:vAlign w:val="center"/>
          </w:tcPr>
          <w:p>
            <w:r>
              <w:rPr>
                <w:b/>
              </w:rPr>
              <w:t>Stage 1</w:t>
            </w:r>
          </w:p>
        </w:tc>
        <w:tc>
          <w:tcPr>
            <w:tcW w:type="dxa" w:w="8352"/>
            <w:tcMar>
              <w:top w:w="100" w:type="dxa"/>
              <w:start w:w="120" w:type="dxa"/>
              <w:bottom w:w="100" w:type="dxa"/>
              <w:end w:w="120" w:type="dxa"/>
            </w:tcMar>
            <w:vAlign w:val="center"/>
          </w:tcPr>
          <w:p>
            <w:r>
              <w:t>Confirm indicator definitions, country list, coverage, and source links.</w:t>
            </w:r>
          </w:p>
        </w:tc>
      </w:tr>
      <w:tr>
        <w:tc>
          <w:tcPr>
            <w:tcW w:type="dxa" w:w="2520"/>
            <w:tcMar>
              <w:top w:w="100" w:type="dxa"/>
              <w:start w:w="120" w:type="dxa"/>
              <w:bottom w:w="100" w:type="dxa"/>
              <w:end w:w="120" w:type="dxa"/>
            </w:tcMar>
            <w:vAlign w:val="center"/>
          </w:tcPr>
          <w:p>
            <w:r>
              <w:rPr>
                <w:b/>
              </w:rPr>
              <w:t>Stage 2</w:t>
            </w:r>
          </w:p>
        </w:tc>
        <w:tc>
          <w:tcPr>
            <w:tcW w:type="dxa" w:w="8352"/>
            <w:tcMar>
              <w:top w:w="100" w:type="dxa"/>
              <w:start w:w="120" w:type="dxa"/>
              <w:bottom w:w="100" w:type="dxa"/>
              <w:end w:w="120" w:type="dxa"/>
            </w:tcMar>
            <w:vAlign w:val="center"/>
          </w:tcPr>
          <w:p>
            <w:r>
              <w:t>Download, clean, reshape, and validate the country-year dataset.</w:t>
            </w:r>
          </w:p>
        </w:tc>
      </w:tr>
      <w:tr>
        <w:tc>
          <w:tcPr>
            <w:tcW w:type="dxa" w:w="2520"/>
            <w:tcMar>
              <w:top w:w="100" w:type="dxa"/>
              <w:start w:w="120" w:type="dxa"/>
              <w:bottom w:w="100" w:type="dxa"/>
              <w:end w:w="120" w:type="dxa"/>
            </w:tcMar>
            <w:vAlign w:val="center"/>
          </w:tcPr>
          <w:p>
            <w:r>
              <w:rPr>
                <w:b/>
              </w:rPr>
              <w:t>Stage 3</w:t>
            </w:r>
          </w:p>
        </w:tc>
        <w:tc>
          <w:tcPr>
            <w:tcW w:type="dxa" w:w="8352"/>
            <w:tcMar>
              <w:top w:w="100" w:type="dxa"/>
              <w:start w:w="120" w:type="dxa"/>
              <w:bottom w:w="100" w:type="dxa"/>
              <w:end w:w="120" w:type="dxa"/>
            </w:tcMar>
            <w:vAlign w:val="center"/>
          </w:tcPr>
          <w:p>
            <w:r>
              <w:t>Produce exploratory plots and check missingness, outliers, and scale choices.</w:t>
            </w:r>
          </w:p>
        </w:tc>
      </w:tr>
      <w:tr>
        <w:tc>
          <w:tcPr>
            <w:tcW w:type="dxa" w:w="2520"/>
            <w:tcMar>
              <w:top w:w="100" w:type="dxa"/>
              <w:start w:w="120" w:type="dxa"/>
              <w:bottom w:w="100" w:type="dxa"/>
              <w:end w:w="120" w:type="dxa"/>
            </w:tcMar>
            <w:vAlign w:val="center"/>
          </w:tcPr>
          <w:p>
            <w:r>
              <w:rPr>
                <w:b/>
              </w:rPr>
              <w:t>Stage 4</w:t>
            </w:r>
          </w:p>
        </w:tc>
        <w:tc>
          <w:tcPr>
            <w:tcW w:type="dxa" w:w="8352"/>
            <w:tcMar>
              <w:top w:w="100" w:type="dxa"/>
              <w:start w:w="120" w:type="dxa"/>
              <w:bottom w:w="100" w:type="dxa"/>
              <w:end w:w="120" w:type="dxa"/>
            </w:tcMar>
            <w:vAlign w:val="center"/>
          </w:tcPr>
          <w:p>
            <w:r>
              <w:t>Refine the visual narrative, write findings and limitations, and test the notebook from top to bottom.</w:t>
            </w:r>
          </w:p>
        </w:tc>
      </w:tr>
      <w:tr>
        <w:tc>
          <w:tcPr>
            <w:tcW w:type="dxa" w:w="2520"/>
            <w:tcMar>
              <w:top w:w="100" w:type="dxa"/>
              <w:start w:w="120" w:type="dxa"/>
              <w:bottom w:w="100" w:type="dxa"/>
              <w:end w:w="120" w:type="dxa"/>
            </w:tcMar>
            <w:vAlign w:val="center"/>
          </w:tcPr>
          <w:p>
            <w:r>
              <w:rPr>
                <w:b/>
              </w:rPr>
              <w:t>Stage 5</w:t>
            </w:r>
          </w:p>
        </w:tc>
        <w:tc>
          <w:tcPr>
            <w:tcW w:type="dxa" w:w="8352"/>
            <w:tcMar>
              <w:top w:w="100" w:type="dxa"/>
              <w:start w:w="120" w:type="dxa"/>
              <w:bottom w:w="100" w:type="dxa"/>
              <w:end w:w="120" w:type="dxa"/>
            </w:tcMar>
            <w:vAlign w:val="center"/>
          </w:tcPr>
          <w:p>
            <w:r>
              <w:t>Package the notebook, README, figures, and data instructions in the GitHub repository and submit the final Word proposal.</w:t>
            </w:r>
          </w:p>
        </w:tc>
      </w:tr>
    </w:tbl>
    <w:p>
      <w:pPr>
        <w:pStyle w:val="Heading1"/>
      </w:pPr>
      <w:r>
        <w:t>7 Responsibility and AI Use Disclosure</w:t>
      </w:r>
    </w:p>
    <w:p>
      <w:r>
        <w:t>This is an independent one-person group. SONG XINYUE (UC627465) is responsible for the project question, source selection, data processing, visualization design, interpretation, testing, and final submission. AI assistance may be used for brainstorming, code explanation, debugging suggestions, and language polishing. The student will review and verify every submitted calculation, chart, claim, and file, and accepts responsibility for the final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