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 w:after="80"/>
        <w:jc w:val="center"/>
      </w:pPr>
      <w:r>
        <w:rPr>
          <w:rFonts w:ascii="Arial" w:hAnsi="Arial" w:eastAsia="Microsoft YaHei"/>
          <w:b/>
          <w:color w:val="000000"/>
          <w:sz w:val="40"/>
        </w:rPr>
        <w:t>Economic Development and Life Expectancy in East Asia and the Pacific</w:t>
      </w:r>
    </w:p>
    <w:p>
      <w:pPr>
        <w:pStyle w:val="Subtitle"/>
        <w:spacing w:after="240"/>
        <w:jc w:val="center"/>
      </w:pPr>
      <w:r>
        <w:rPr>
          <w:rFonts w:ascii="Arial" w:hAnsi="Arial" w:eastAsia="Microsoft YaHei"/>
          <w:color w:val="000000"/>
          <w:sz w:val="23"/>
        </w:rPr>
        <w:t>Preliminary Project Proposal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3"/>
        <w:gridCol w:w="4933"/>
      </w:tblGrid>
      <w:tr>
        <w:tc>
          <w:tcPr>
            <w:tcW w:type="dxa" w:w="2268"/>
            <w:shd w:fill="EAF1F8"/>
            <w:vAlign w:val="center"/>
            <w:tcMar>
              <w:top w:w="100" w:type="dxa"/>
              <w:start w:w="120" w:type="dxa"/>
              <w:bottom w:w="100" w:type="dxa"/>
              <w:end w:w="120" w:type="dxa"/>
            </w:tcMar>
          </w:tcPr>
          <w:p>
            <w:pPr>
              <w:spacing w:after="0" w:before="0" w:line="240" w:lineRule="auto"/>
            </w:pPr>
            <w:r>
              <w:rPr>
                <w:rFonts w:ascii="Arial" w:hAnsi="Arial" w:eastAsia="Microsoft YaHei"/>
                <w:b/>
                <w:color w:val="000000"/>
                <w:sz w:val="19"/>
              </w:rPr>
              <w:t>Student</w:t>
            </w:r>
          </w:p>
        </w:tc>
        <w:tc>
          <w:tcPr>
            <w:tcW w:type="dxa" w:w="7370"/>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9"/>
              </w:rPr>
              <w:t>宋欣悦  SONG XINYUE</w:t>
            </w:r>
          </w:p>
        </w:tc>
      </w:tr>
      <w:tr>
        <w:tc>
          <w:tcPr>
            <w:tcW w:type="dxa" w:w="2268"/>
            <w:shd w:fill="FFFFFF"/>
            <w:vAlign w:val="center"/>
            <w:tcMar>
              <w:top w:w="100" w:type="dxa"/>
              <w:start w:w="120" w:type="dxa"/>
              <w:bottom w:w="100" w:type="dxa"/>
              <w:end w:w="120" w:type="dxa"/>
            </w:tcMar>
          </w:tcPr>
          <w:p>
            <w:pPr>
              <w:spacing w:after="0" w:before="0" w:line="240" w:lineRule="auto"/>
            </w:pPr>
            <w:r>
              <w:rPr>
                <w:rFonts w:ascii="Arial" w:hAnsi="Arial" w:eastAsia="Microsoft YaHei"/>
                <w:b/>
                <w:color w:val="000000"/>
                <w:sz w:val="19"/>
              </w:rPr>
              <w:t>Student ID</w:t>
            </w:r>
          </w:p>
        </w:tc>
        <w:tc>
          <w:tcPr>
            <w:tcW w:type="dxa" w:w="7370"/>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9"/>
              </w:rPr>
              <w:t>UC627465</w:t>
            </w:r>
          </w:p>
        </w:tc>
      </w:tr>
      <w:tr>
        <w:tc>
          <w:tcPr>
            <w:tcW w:type="dxa" w:w="2268"/>
            <w:shd w:fill="EAF1F8"/>
            <w:vAlign w:val="center"/>
            <w:tcMar>
              <w:top w:w="100" w:type="dxa"/>
              <w:start w:w="120" w:type="dxa"/>
              <w:bottom w:w="100" w:type="dxa"/>
              <w:end w:w="120" w:type="dxa"/>
            </w:tcMar>
          </w:tcPr>
          <w:p>
            <w:pPr>
              <w:spacing w:after="0" w:before="0" w:line="240" w:lineRule="auto"/>
            </w:pPr>
            <w:r>
              <w:rPr>
                <w:rFonts w:ascii="Arial" w:hAnsi="Arial" w:eastAsia="Microsoft YaHei"/>
                <w:b/>
                <w:color w:val="000000"/>
                <w:sz w:val="19"/>
              </w:rPr>
              <w:t>Course</w:t>
            </w:r>
          </w:p>
        </w:tc>
        <w:tc>
          <w:tcPr>
            <w:tcW w:type="dxa" w:w="7370"/>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9"/>
              </w:rPr>
              <w:t>CISC3015  Data and Information Visualization</w:t>
            </w:r>
          </w:p>
        </w:tc>
      </w:tr>
      <w:tr>
        <w:tc>
          <w:tcPr>
            <w:tcW w:type="dxa" w:w="2268"/>
            <w:shd w:fill="FFFFFF"/>
            <w:vAlign w:val="center"/>
            <w:tcMar>
              <w:top w:w="100" w:type="dxa"/>
              <w:start w:w="120" w:type="dxa"/>
              <w:bottom w:w="100" w:type="dxa"/>
              <w:end w:w="120" w:type="dxa"/>
            </w:tcMar>
          </w:tcPr>
          <w:p>
            <w:pPr>
              <w:spacing w:after="0" w:before="0" w:line="240" w:lineRule="auto"/>
            </w:pPr>
            <w:r>
              <w:rPr>
                <w:rFonts w:ascii="Arial" w:hAnsi="Arial" w:eastAsia="Microsoft YaHei"/>
                <w:b/>
                <w:color w:val="000000"/>
                <w:sz w:val="19"/>
              </w:rPr>
              <w:t>Coursework Item</w:t>
            </w:r>
          </w:p>
        </w:tc>
        <w:tc>
          <w:tcPr>
            <w:tcW w:type="dxa" w:w="7370"/>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9"/>
              </w:rPr>
              <w:t>Assignment 01  Individual Preliminary Project Proposal</w:t>
            </w:r>
          </w:p>
        </w:tc>
      </w:tr>
      <w:tr>
        <w:tc>
          <w:tcPr>
            <w:tcW w:type="dxa" w:w="2268"/>
            <w:shd w:fill="EAF1F8"/>
            <w:vAlign w:val="center"/>
            <w:tcMar>
              <w:top w:w="100" w:type="dxa"/>
              <w:start w:w="120" w:type="dxa"/>
              <w:bottom w:w="100" w:type="dxa"/>
              <w:end w:w="120" w:type="dxa"/>
            </w:tcMar>
          </w:tcPr>
          <w:p>
            <w:pPr>
              <w:spacing w:after="0" w:before="0" w:line="240" w:lineRule="auto"/>
            </w:pPr>
            <w:r>
              <w:rPr>
                <w:rFonts w:ascii="Arial" w:hAnsi="Arial" w:eastAsia="Microsoft YaHei"/>
                <w:b/>
                <w:color w:val="000000"/>
                <w:sz w:val="19"/>
              </w:rPr>
              <w:t>Project Type</w:t>
            </w:r>
          </w:p>
        </w:tc>
        <w:tc>
          <w:tcPr>
            <w:tcW w:type="dxa" w:w="7370"/>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9"/>
              </w:rPr>
              <w:t>Individual data analysis and visualization project</w:t>
            </w:r>
          </w:p>
        </w:tc>
      </w:tr>
    </w:tbl>
    <w:p>
      <w:pPr>
        <w:pStyle w:val="Heading1"/>
        <w:keepNext/>
        <w:spacing w:before="140" w:after="80"/>
      </w:pPr>
      <w:r>
        <w:rPr>
          <w:rFonts w:ascii="Arial" w:hAnsi="Arial" w:eastAsia="Microsoft YaHei"/>
          <w:b/>
          <w:color w:val="000000"/>
          <w:sz w:val="27"/>
        </w:rPr>
        <w:t>Project Overview</w:t>
      </w:r>
    </w:p>
    <w:p>
      <w:pPr>
        <w:keepLines w:val="0"/>
        <w:spacing w:before="0" w:after="80" w:line="259" w:lineRule="auto"/>
      </w:pPr>
      <w:r>
        <w:rPr>
          <w:rFonts w:ascii="Arial" w:hAnsi="Arial" w:eastAsia="Microsoft YaHei"/>
          <w:color w:val="000000"/>
          <w:sz w:val="21"/>
        </w:rPr>
        <w:t>This individual project will examine whether economic resources and urbanization are associated with life expectancy across East Asia and Pacific economies in 2023. I will combine three World Development Indicators, clean and merge the country-level records, visualize the relationships, and fit regression models. The project will describe statistical associations rather than claim that income or urbanization directly causes longer life expectancy.</w:t>
      </w:r>
    </w:p>
    <w:p>
      <w:pPr>
        <w:pStyle w:val="Heading1"/>
        <w:keepNext/>
        <w:spacing w:before="140" w:after="80"/>
      </w:pPr>
      <w:r>
        <w:rPr>
          <w:rFonts w:ascii="Arial" w:hAnsi="Arial" w:eastAsia="Microsoft YaHei"/>
          <w:b/>
          <w:color w:val="000000"/>
          <w:sz w:val="27"/>
        </w:rPr>
        <w:t>Region Domain and Research Question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3"/>
        <w:gridCol w:w="4933"/>
      </w:tblGrid>
      <w:tr>
        <w:tc>
          <w:tcPr>
            <w:tcW w:type="dxa" w:w="1984"/>
            <w:vAlign w:val="center"/>
            <w:tcMar>
              <w:top w:w="100" w:type="dxa"/>
              <w:start w:w="120" w:type="dxa"/>
              <w:bottom w:w="100" w:type="dxa"/>
              <w:end w:w="120" w:type="dxa"/>
            </w:tcMar>
            <w:shd w:fill="EAF1F8"/>
          </w:tcPr>
          <w:p>
            <w:pPr>
              <w:spacing w:after="0" w:before="0" w:line="240" w:lineRule="auto"/>
            </w:pPr>
            <w:r>
              <w:rPr>
                <w:rFonts w:ascii="Arial" w:hAnsi="Arial" w:eastAsia="Microsoft YaHei"/>
                <w:b/>
                <w:color w:val="000000"/>
                <w:sz w:val="18"/>
              </w:rPr>
              <w:t>Region</w:t>
            </w:r>
          </w:p>
        </w:tc>
        <w:tc>
          <w:tcPr>
            <w:tcW w:type="dxa" w:w="7654"/>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8"/>
              </w:rPr>
              <w:t>East Asia and the Pacific</w:t>
            </w:r>
          </w:p>
        </w:tc>
      </w:tr>
      <w:tr>
        <w:tc>
          <w:tcPr>
            <w:tcW w:type="dxa" w:w="1984"/>
            <w:vAlign w:val="center"/>
            <w:tcMar>
              <w:top w:w="100" w:type="dxa"/>
              <w:start w:w="120" w:type="dxa"/>
              <w:bottom w:w="100" w:type="dxa"/>
              <w:end w:w="120" w:type="dxa"/>
            </w:tcMar>
            <w:shd w:fill="EAF1F8"/>
          </w:tcPr>
          <w:p>
            <w:pPr>
              <w:spacing w:after="0" w:before="0" w:line="240" w:lineRule="auto"/>
            </w:pPr>
            <w:r>
              <w:rPr>
                <w:rFonts w:ascii="Arial" w:hAnsi="Arial" w:eastAsia="Microsoft YaHei"/>
                <w:b/>
                <w:color w:val="000000"/>
                <w:sz w:val="18"/>
              </w:rPr>
              <w:t>Domain</w:t>
            </w:r>
          </w:p>
        </w:tc>
        <w:tc>
          <w:tcPr>
            <w:tcW w:type="dxa" w:w="7654"/>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8"/>
              </w:rPr>
              <w:t>Public health and economic development</w:t>
            </w:r>
          </w:p>
        </w:tc>
      </w:tr>
      <w:tr>
        <w:tc>
          <w:tcPr>
            <w:tcW w:type="dxa" w:w="1984"/>
            <w:vAlign w:val="center"/>
            <w:tcMar>
              <w:top w:w="100" w:type="dxa"/>
              <w:start w:w="120" w:type="dxa"/>
              <w:bottom w:w="100" w:type="dxa"/>
              <w:end w:w="120" w:type="dxa"/>
            </w:tcMar>
            <w:shd w:fill="EAF1F8"/>
          </w:tcPr>
          <w:p>
            <w:pPr>
              <w:spacing w:after="0" w:before="0" w:line="240" w:lineRule="auto"/>
            </w:pPr>
            <w:r>
              <w:rPr>
                <w:rFonts w:ascii="Arial" w:hAnsi="Arial" w:eastAsia="Microsoft YaHei"/>
                <w:b/>
                <w:color w:val="000000"/>
                <w:sz w:val="18"/>
              </w:rPr>
              <w:t>Research question</w:t>
            </w:r>
          </w:p>
        </w:tc>
        <w:tc>
          <w:tcPr>
            <w:tcW w:type="dxa" w:w="7654"/>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8"/>
              </w:rPr>
              <w:t>Among East Asia and Pacific economies in 2023, how are GDP per capita and the urban population share associated with life expectancy at birth</w:t>
            </w:r>
          </w:p>
        </w:tc>
      </w:tr>
    </w:tbl>
    <w:p>
      <w:pPr>
        <w:pStyle w:val="Heading1"/>
        <w:keepNext/>
        <w:spacing w:before="140" w:after="80"/>
      </w:pPr>
      <w:r>
        <w:rPr>
          <w:rFonts w:ascii="Arial" w:hAnsi="Arial" w:eastAsia="Microsoft YaHei"/>
          <w:b/>
          <w:color w:val="000000"/>
          <w:sz w:val="27"/>
        </w:rPr>
        <w:t>Project Purpose</w:t>
      </w:r>
    </w:p>
    <w:p>
      <w:pPr>
        <w:keepLines w:val="0"/>
        <w:spacing w:before="0" w:after="60" w:line="259" w:lineRule="auto"/>
      </w:pPr>
      <w:r>
        <w:rPr>
          <w:rFonts w:ascii="Arial" w:hAnsi="Arial" w:eastAsia="Microsoft YaHei"/>
          <w:b/>
          <w:color w:val="000000"/>
          <w:sz w:val="21"/>
        </w:rPr>
        <w:t xml:space="preserve">Outcomes  </w:t>
      </w:r>
      <w:r>
        <w:rPr>
          <w:rFonts w:ascii="Arial" w:hAnsi="Arial" w:eastAsia="Microsoft YaHei"/>
          <w:color w:val="000000"/>
          <w:sz w:val="21"/>
        </w:rPr>
        <w:t>The project connects the course learning sequence from data import and wrangling through exploratory analysis, regression, model evaluation, and visual communication. The finished work will provide a reproducible comparison of economies and a careful interpretation of the observed patterns.</w:t>
      </w:r>
    </w:p>
    <w:p>
      <w:pPr>
        <w:keepLines w:val="0"/>
        <w:spacing w:before="0" w:after="60" w:line="259" w:lineRule="auto"/>
      </w:pPr>
      <w:r>
        <w:rPr>
          <w:rFonts w:ascii="Arial" w:hAnsi="Arial" w:eastAsia="Microsoft YaHei"/>
          <w:b/>
          <w:color w:val="000000"/>
          <w:sz w:val="21"/>
        </w:rPr>
        <w:t xml:space="preserve">Skills  </w:t>
      </w:r>
      <w:r>
        <w:rPr>
          <w:rFonts w:ascii="Arial" w:hAnsi="Arial" w:eastAsia="Microsoft YaHei"/>
          <w:color w:val="000000"/>
          <w:sz w:val="21"/>
        </w:rPr>
        <w:t>I will practice using Pandas to reshape and merge data, NumPy for transformation, Seaborn and Matplotlib for visualization, SciPy for correlation, and Scikit-learn or Statsmodels for regression and diagnostic checks.</w:t>
      </w:r>
    </w:p>
    <w:p>
      <w:pPr>
        <w:keepLines w:val="0"/>
        <w:spacing w:before="0" w:after="60" w:line="259" w:lineRule="auto"/>
      </w:pPr>
      <w:r>
        <w:rPr>
          <w:rFonts w:ascii="Arial" w:hAnsi="Arial" w:eastAsia="Microsoft YaHei"/>
          <w:b/>
          <w:color w:val="000000"/>
          <w:sz w:val="21"/>
        </w:rPr>
        <w:t xml:space="preserve">Knowledge  </w:t>
      </w:r>
      <w:r>
        <w:rPr>
          <w:rFonts w:ascii="Arial" w:hAnsi="Arial" w:eastAsia="Microsoft YaHei"/>
          <w:color w:val="000000"/>
          <w:sz w:val="21"/>
        </w:rPr>
        <w:t>The analysis will strengthen my understanding of missing values, skewed economic variables, correlation, multiple regression, model fit, residuals, confounding, and the difference between association and causation.</w:t>
      </w:r>
    </w:p>
    <w:p>
      <w:pPr>
        <w:pStyle w:val="Heading1"/>
        <w:keepNext/>
        <w:spacing w:before="140" w:after="80"/>
      </w:pPr>
      <w:r>
        <w:rPr>
          <w:rFonts w:ascii="Arial" w:hAnsi="Arial" w:eastAsia="Microsoft YaHei"/>
          <w:b/>
          <w:color w:val="000000"/>
          <w:sz w:val="27"/>
        </w:rPr>
        <w:t>Data Sources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trPr>
        <w:tc>
          <w:tcPr>
            <w:tcW w:type="dxa" w:w="3628"/>
            <w:vAlign w:val="center"/>
            <w:tcMar>
              <w:top w:w="100" w:type="dxa"/>
              <w:start w:w="120" w:type="dxa"/>
              <w:bottom w:w="100" w:type="dxa"/>
              <w:end w:w="120" w:type="dxa"/>
            </w:tcMar>
            <w:shd w:fill="17365D"/>
          </w:tcPr>
          <w:p>
            <w:pPr>
              <w:spacing w:after="0" w:before="0" w:line="240" w:lineRule="auto"/>
            </w:pPr>
            <w:r>
              <w:rPr>
                <w:rFonts w:ascii="Arial" w:hAnsi="Arial" w:eastAsia="Microsoft YaHei"/>
                <w:b/>
                <w:color w:val="FFFFFF"/>
                <w:sz w:val="17"/>
              </w:rPr>
              <w:t>Indicator</w:t>
            </w:r>
          </w:p>
        </w:tc>
        <w:tc>
          <w:tcPr>
            <w:tcW w:type="dxa" w:w="2268"/>
            <w:vAlign w:val="center"/>
            <w:tcMar>
              <w:top w:w="100" w:type="dxa"/>
              <w:start w:w="120" w:type="dxa"/>
              <w:bottom w:w="100" w:type="dxa"/>
              <w:end w:w="120" w:type="dxa"/>
            </w:tcMar>
            <w:shd w:fill="17365D"/>
          </w:tcPr>
          <w:p>
            <w:pPr>
              <w:spacing w:after="0" w:before="0" w:line="240" w:lineRule="auto"/>
            </w:pPr>
            <w:r>
              <w:rPr>
                <w:rFonts w:ascii="Arial" w:hAnsi="Arial" w:eastAsia="Microsoft YaHei"/>
                <w:b/>
                <w:color w:val="FFFFFF"/>
                <w:sz w:val="17"/>
              </w:rPr>
              <w:t>Code and year</w:t>
            </w:r>
          </w:p>
        </w:tc>
        <w:tc>
          <w:tcPr>
            <w:tcW w:type="dxa" w:w="3742"/>
            <w:vAlign w:val="center"/>
            <w:tcMar>
              <w:top w:w="100" w:type="dxa"/>
              <w:start w:w="120" w:type="dxa"/>
              <w:bottom w:w="100" w:type="dxa"/>
              <w:end w:w="120" w:type="dxa"/>
            </w:tcMar>
            <w:shd w:fill="17365D"/>
          </w:tcPr>
          <w:p>
            <w:pPr>
              <w:spacing w:after="0" w:before="0" w:line="240" w:lineRule="auto"/>
            </w:pPr>
            <w:r>
              <w:rPr>
                <w:rFonts w:ascii="Arial" w:hAnsi="Arial" w:eastAsia="Microsoft YaHei"/>
                <w:b/>
                <w:color w:val="FFFFFF"/>
                <w:sz w:val="17"/>
              </w:rPr>
              <w:t>Official dataset</w:t>
            </w:r>
          </w:p>
        </w:tc>
      </w:tr>
      <w:tr>
        <w:tc>
          <w:tcPr>
            <w:tcW w:type="dxa" w:w="3628"/>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Life expectancy at birth total years</w:t>
            </w:r>
          </w:p>
        </w:tc>
        <w:tc>
          <w:tcPr>
            <w:tcW w:type="dxa" w:w="2268"/>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SP.DYN.LE00.IN  2023</w:t>
            </w:r>
          </w:p>
        </w:tc>
        <w:tc>
          <w:tcPr>
            <w:tcW w:type="dxa" w:w="3742"/>
            <w:vAlign w:val="center"/>
            <w:tcMar>
              <w:top w:w="100" w:type="dxa"/>
              <w:start w:w="120" w:type="dxa"/>
              <w:bottom w:w="100" w:type="dxa"/>
              <w:end w:w="120" w:type="dxa"/>
            </w:tcMar>
            <w:shd w:fill="FFFFFF"/>
          </w:tcPr>
          <w:p>
            <w:pPr>
              <w:spacing w:after="0" w:before="0" w:line="240" w:lineRule="auto"/>
            </w:pPr>
            <w:hyperlink r:id="rId10">
              <w:r>
                <w:rPr>
                  <w:rFonts w:ascii="Arial" w:hAnsi="Arial"/>
                  <w:color w:val="1155CC"/>
                  <w:u w:val="single"/>
                  <w:sz w:val="19"/>
                </w:rPr>
                <w:t>World Bank life expectancy data</w:t>
              </w:r>
            </w:hyperlink>
          </w:p>
        </w:tc>
      </w:tr>
      <w:tr>
        <w:tc>
          <w:tcPr>
            <w:tcW w:type="dxa" w:w="3628"/>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GDP per capita current US dollars</w:t>
            </w:r>
          </w:p>
        </w:tc>
        <w:tc>
          <w:tcPr>
            <w:tcW w:type="dxa" w:w="2268"/>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NY.GDP.PCAP.CD  2023</w:t>
            </w:r>
          </w:p>
        </w:tc>
        <w:tc>
          <w:tcPr>
            <w:tcW w:type="dxa" w:w="3742"/>
            <w:vAlign w:val="center"/>
            <w:tcMar>
              <w:top w:w="100" w:type="dxa"/>
              <w:start w:w="120" w:type="dxa"/>
              <w:bottom w:w="100" w:type="dxa"/>
              <w:end w:w="120" w:type="dxa"/>
            </w:tcMar>
            <w:shd w:fill="EAF1F8"/>
          </w:tcPr>
          <w:p>
            <w:pPr>
              <w:spacing w:after="0" w:before="0" w:line="240" w:lineRule="auto"/>
            </w:pPr>
            <w:hyperlink r:id="rId11">
              <w:r>
                <w:rPr>
                  <w:rFonts w:ascii="Arial" w:hAnsi="Arial"/>
                  <w:color w:val="1155CC"/>
                  <w:u w:val="single"/>
                  <w:sz w:val="19"/>
                </w:rPr>
                <w:t>World Bank GDP per capita data</w:t>
              </w:r>
            </w:hyperlink>
          </w:p>
        </w:tc>
      </w:tr>
      <w:tr>
        <w:tc>
          <w:tcPr>
            <w:tcW w:type="dxa" w:w="3628"/>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Urban population percent of total</w:t>
            </w:r>
          </w:p>
        </w:tc>
        <w:tc>
          <w:tcPr>
            <w:tcW w:type="dxa" w:w="2268"/>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SP.URB.TOTL.IN.ZS  2023</w:t>
            </w:r>
          </w:p>
        </w:tc>
        <w:tc>
          <w:tcPr>
            <w:tcW w:type="dxa" w:w="3742"/>
            <w:vAlign w:val="center"/>
            <w:tcMar>
              <w:top w:w="100" w:type="dxa"/>
              <w:start w:w="120" w:type="dxa"/>
              <w:bottom w:w="100" w:type="dxa"/>
              <w:end w:w="120" w:type="dxa"/>
            </w:tcMar>
            <w:shd w:fill="FFFFFF"/>
          </w:tcPr>
          <w:p>
            <w:pPr>
              <w:spacing w:after="0" w:before="0" w:line="240" w:lineRule="auto"/>
            </w:pPr>
            <w:hyperlink r:id="rId12">
              <w:r>
                <w:rPr>
                  <w:rFonts w:ascii="Arial" w:hAnsi="Arial"/>
                  <w:color w:val="1155CC"/>
                  <w:u w:val="single"/>
                  <w:sz w:val="19"/>
                </w:rPr>
                <w:t>World Bank urban population data</w:t>
              </w:r>
            </w:hyperlink>
          </w:p>
        </w:tc>
      </w:tr>
    </w:tbl>
    <w:p>
      <w:pPr>
        <w:keepLines w:val="0"/>
        <w:spacing w:before="60" w:after="0" w:line="245" w:lineRule="auto"/>
      </w:pPr>
      <w:r>
        <w:rPr>
          <w:rFonts w:ascii="Arial" w:hAnsi="Arial" w:eastAsia="Microsoft YaHei"/>
          <w:color w:val="000000"/>
          <w:sz w:val="21"/>
        </w:rPr>
        <w:t>The indicator pages provide downloadable CSV, XML, and Excel files. I will record the download date and retain only economies classified in the East Asia and Pacific region with complete observations for the selected year.</w:t>
      </w:r>
    </w:p>
    <w:p>
      <w:r>
        <w:br w:type="page"/>
      </w:r>
    </w:p>
    <w:p>
      <w:pPr>
        <w:pStyle w:val="Heading1"/>
        <w:keepNext/>
        <w:spacing w:before="140" w:after="80"/>
      </w:pPr>
      <w:r>
        <w:rPr>
          <w:rFonts w:ascii="Arial" w:hAnsi="Arial" w:eastAsia="Microsoft YaHei"/>
          <w:b/>
          <w:color w:val="000000"/>
          <w:sz w:val="27"/>
        </w:rPr>
        <w:t>Project Tasks</w:t>
      </w:r>
    </w:p>
    <w:p>
      <w:pPr>
        <w:pStyle w:val="ListNumber"/>
        <w:spacing w:after="80" w:line="252" w:lineRule="auto"/>
      </w:pPr>
      <w:r>
        <w:rPr>
          <w:rFonts w:ascii="Arial" w:hAnsi="Arial" w:eastAsia="Microsoft YaHei"/>
          <w:b/>
          <w:color w:val="000000"/>
          <w:sz w:val="20"/>
        </w:rPr>
        <w:t xml:space="preserve">Acquire the data  </w:t>
      </w:r>
      <w:r>
        <w:rPr>
          <w:rFonts w:ascii="Arial" w:hAnsi="Arial" w:eastAsia="Microsoft YaHei"/>
          <w:color w:val="000000"/>
          <w:sz w:val="20"/>
        </w:rPr>
        <w:t>Download the three indicators and the World Bank economy metadata, then store unchanged source files in a data folder.</w:t>
      </w:r>
    </w:p>
    <w:p>
      <w:pPr>
        <w:pStyle w:val="ListNumber"/>
        <w:spacing w:after="80" w:line="252" w:lineRule="auto"/>
      </w:pPr>
      <w:r>
        <w:rPr>
          <w:rFonts w:ascii="Arial" w:hAnsi="Arial" w:eastAsia="Microsoft YaHei"/>
          <w:b/>
          <w:color w:val="000000"/>
          <w:sz w:val="20"/>
        </w:rPr>
        <w:t xml:space="preserve">Define the sample  </w:t>
      </w:r>
      <w:r>
        <w:rPr>
          <w:rFonts w:ascii="Arial" w:hAnsi="Arial" w:eastAsia="Microsoft YaHei"/>
          <w:color w:val="000000"/>
          <w:sz w:val="20"/>
        </w:rPr>
        <w:t>Select 2023 observations for East Asia and Pacific economies and remove regional aggregates so that each row represents one economy.</w:t>
      </w:r>
    </w:p>
    <w:p>
      <w:pPr>
        <w:pStyle w:val="ListNumber"/>
        <w:spacing w:after="80" w:line="252" w:lineRule="auto"/>
      </w:pPr>
      <w:r>
        <w:rPr>
          <w:rFonts w:ascii="Arial" w:hAnsi="Arial" w:eastAsia="Microsoft YaHei"/>
          <w:b/>
          <w:color w:val="000000"/>
          <w:sz w:val="20"/>
        </w:rPr>
        <w:t xml:space="preserve">Prepare the variables  </w:t>
      </w:r>
      <w:r>
        <w:rPr>
          <w:rFonts w:ascii="Arial" w:hAnsi="Arial" w:eastAsia="Microsoft YaHei"/>
          <w:color w:val="000000"/>
          <w:sz w:val="20"/>
        </w:rPr>
        <w:t>Standardize economy codes, convert values to numeric types, inspect missing values, and apply a logarithmic transformation to GDP per capita because its distribution is strongly right skewed.</w:t>
      </w:r>
    </w:p>
    <w:p>
      <w:pPr>
        <w:pStyle w:val="ListNumber"/>
        <w:spacing w:after="80" w:line="252" w:lineRule="auto"/>
      </w:pPr>
      <w:r>
        <w:rPr>
          <w:rFonts w:ascii="Arial" w:hAnsi="Arial" w:eastAsia="Microsoft YaHei"/>
          <w:b/>
          <w:color w:val="000000"/>
          <w:sz w:val="20"/>
        </w:rPr>
        <w:t xml:space="preserve">Merge and validate  </w:t>
      </w:r>
      <w:r>
        <w:rPr>
          <w:rFonts w:ascii="Arial" w:hAnsi="Arial" w:eastAsia="Microsoft YaHei"/>
          <w:color w:val="000000"/>
          <w:sz w:val="20"/>
        </w:rPr>
        <w:t>Join the indicators by ISO economy code and year, check duplicate keys, and compare the merged row count with the source tables.</w:t>
      </w:r>
    </w:p>
    <w:p>
      <w:pPr>
        <w:pStyle w:val="ListNumber"/>
        <w:spacing w:after="80" w:line="252" w:lineRule="auto"/>
      </w:pPr>
      <w:r>
        <w:rPr>
          <w:rFonts w:ascii="Arial" w:hAnsi="Arial" w:eastAsia="Microsoft YaHei"/>
          <w:b/>
          <w:color w:val="000000"/>
          <w:sz w:val="20"/>
        </w:rPr>
        <w:t xml:space="preserve">Explore the data  </w:t>
      </w:r>
      <w:r>
        <w:rPr>
          <w:rFonts w:ascii="Arial" w:hAnsi="Arial" w:eastAsia="Microsoft YaHei"/>
          <w:color w:val="000000"/>
          <w:sz w:val="20"/>
        </w:rPr>
        <w:t>Calculate descriptive statistics and Pearson correlations, inspect distributions, and identify influential observations without deleting them automatically.</w:t>
      </w:r>
    </w:p>
    <w:p>
      <w:pPr>
        <w:pStyle w:val="ListNumber"/>
        <w:spacing w:after="80" w:line="252" w:lineRule="auto"/>
      </w:pPr>
      <w:r>
        <w:rPr>
          <w:rFonts w:ascii="Arial" w:hAnsi="Arial" w:eastAsia="Microsoft YaHei"/>
          <w:b/>
          <w:color w:val="000000"/>
          <w:sz w:val="20"/>
        </w:rPr>
        <w:t xml:space="preserve">Model the relationships  </w:t>
      </w:r>
      <w:r>
        <w:rPr>
          <w:rFonts w:ascii="Arial" w:hAnsi="Arial" w:eastAsia="Microsoft YaHei"/>
          <w:color w:val="000000"/>
          <w:sz w:val="20"/>
        </w:rPr>
        <w:t>Fit simple regressions and a multiple regression with life expectancy as the outcome and log GDP per capita plus urban population share as predictors.</w:t>
      </w:r>
    </w:p>
    <w:p>
      <w:pPr>
        <w:pStyle w:val="ListNumber"/>
        <w:spacing w:after="80" w:line="252" w:lineRule="auto"/>
      </w:pPr>
      <w:r>
        <w:rPr>
          <w:rFonts w:ascii="Arial" w:hAnsi="Arial" w:eastAsia="Microsoft YaHei"/>
          <w:b/>
          <w:color w:val="000000"/>
          <w:sz w:val="20"/>
        </w:rPr>
        <w:t xml:space="preserve">Evaluate the models  </w:t>
      </w:r>
      <w:r>
        <w:rPr>
          <w:rFonts w:ascii="Arial" w:hAnsi="Arial" w:eastAsia="Microsoft YaHei"/>
          <w:color w:val="000000"/>
          <w:sz w:val="20"/>
        </w:rPr>
        <w:t>Report coefficients, R squared values, residual plots, and sensitivity results using the nearest earlier year if 2023 coverage is incomplete.</w:t>
      </w:r>
    </w:p>
    <w:p>
      <w:pPr>
        <w:pStyle w:val="ListNumber"/>
        <w:spacing w:after="80" w:line="252" w:lineRule="auto"/>
      </w:pPr>
      <w:r>
        <w:rPr>
          <w:rFonts w:ascii="Arial" w:hAnsi="Arial" w:eastAsia="Microsoft YaHei"/>
          <w:b/>
          <w:color w:val="000000"/>
          <w:sz w:val="20"/>
        </w:rPr>
        <w:t xml:space="preserve">Communicate the findings  </w:t>
      </w:r>
      <w:r>
        <w:rPr>
          <w:rFonts w:ascii="Arial" w:hAnsi="Arial" w:eastAsia="Microsoft YaHei"/>
          <w:color w:val="000000"/>
          <w:sz w:val="20"/>
        </w:rPr>
        <w:t>Produce clear figures, explain uncertainty and limitations, and assemble the notebook, cleaned data, visual output, and written interpretation.</w:t>
      </w:r>
    </w:p>
    <w:p>
      <w:pPr>
        <w:pStyle w:val="Heading1"/>
        <w:keepNext/>
        <w:spacing w:before="140" w:after="80"/>
      </w:pPr>
      <w:r>
        <w:rPr>
          <w:rFonts w:ascii="Arial" w:hAnsi="Arial" w:eastAsia="Microsoft YaHei"/>
          <w:b/>
          <w:color w:val="000000"/>
          <w:sz w:val="27"/>
        </w:rPr>
        <w:t>Analytical Method</w:t>
      </w:r>
    </w:p>
    <w:p>
      <w:pPr>
        <w:keepLines w:val="0"/>
        <w:spacing w:before="0" w:after="80" w:line="259" w:lineRule="auto"/>
      </w:pPr>
      <w:r>
        <w:rPr>
          <w:rFonts w:ascii="Arial" w:hAnsi="Arial" w:eastAsia="Microsoft YaHei"/>
          <w:color w:val="000000"/>
          <w:sz w:val="21"/>
        </w:rPr>
        <w:t>The unit of analysis will be an economy. Life expectancy in years will be the dependent variable. The explanatory variables will be the natural logarithm of GDP per capita and the percentage of the population living in urban areas. The analysis will first show distributions and summary statistics, then compare bivariate relationships before estimating the combined model.</w:t>
      </w:r>
    </w:p>
    <w:p>
      <w:pPr>
        <w:keepLines w:val="0"/>
        <w:spacing w:before="0" w:after="80" w:line="259" w:lineRule="auto"/>
      </w:pPr>
      <w:r>
        <w:rPr>
          <w:rFonts w:ascii="Arial" w:hAnsi="Arial" w:eastAsia="Microsoft YaHei"/>
          <w:color w:val="000000"/>
          <w:sz w:val="21"/>
        </w:rPr>
        <w:t>Model assessment will emphasize interpretation as well as fit. I will inspect residual patterns, compare simple and multiple regression results, and note cases with high leverage. If missing data reduce the sample substantially, I will repeat the analysis for 2022 as a sensitivity check and clearly label that change. I will not impute an economy's outcome merely to preserve sample size.</w:t>
      </w:r>
    </w:p>
    <w:p>
      <w:pPr>
        <w:pStyle w:val="Heading1"/>
        <w:keepNext/>
        <w:spacing w:before="140" w:after="80"/>
      </w:pPr>
      <w:r>
        <w:rPr>
          <w:rFonts w:ascii="Arial" w:hAnsi="Arial" w:eastAsia="Microsoft YaHei"/>
          <w:b/>
          <w:color w:val="000000"/>
          <w:sz w:val="27"/>
        </w:rPr>
        <w:t>Visualization Plan and Justification</w:t>
      </w:r>
    </w:p>
    <w:p>
      <w:pPr>
        <w:keepLines w:val="0"/>
        <w:spacing w:before="0" w:after="80" w:line="259" w:lineRule="auto"/>
      </w:pPr>
      <w:r>
        <w:rPr>
          <w:rFonts w:ascii="Arial" w:hAnsi="Arial" w:eastAsia="Microsoft YaHei"/>
          <w:color w:val="000000"/>
          <w:sz w:val="21"/>
        </w:rPr>
        <w:t>The main visual will be a scatter plot of log GDP per capita against life expectancy. Points will be colored by urban population share, and a fitted regression line with an uncertainty band will summarize the overall pattern. Economy labels will be added only to a small number of influential or unusual observations so the plot remains readable. This design directly addresses the question by showing the outcome, the main economic predictor, and the second predictor in one view.</w:t>
      </w:r>
    </w:p>
    <w:p>
      <w:pPr>
        <w:keepLines w:val="0"/>
        <w:spacing w:before="0" w:after="80" w:line="259" w:lineRule="auto"/>
      </w:pPr>
      <w:r>
        <w:rPr>
          <w:rFonts w:ascii="Arial" w:hAnsi="Arial" w:eastAsia="Microsoft YaHei"/>
          <w:color w:val="000000"/>
          <w:sz w:val="21"/>
        </w:rPr>
        <w:t>A supporting coefficient plot will compare the standardized regression estimates and their confidence intervals. A residual plot will be included as a diagnostic rather than as the main story. Together, these visuals will separate the substantive finding from the model-quality check and will help prevent a strong color or line from being mistaken for causal proof.</w:t>
      </w:r>
    </w:p>
    <w:p>
      <w:pPr>
        <w:pStyle w:val="Heading1"/>
        <w:keepNext/>
        <w:spacing w:before="140" w:after="80"/>
      </w:pPr>
      <w:r>
        <w:rPr>
          <w:rFonts w:ascii="Arial" w:hAnsi="Arial" w:eastAsia="Microsoft YaHei"/>
          <w:b/>
          <w:color w:val="000000"/>
          <w:sz w:val="27"/>
        </w:rPr>
        <w:t>Planned Deliverables</w:t>
      </w:r>
    </w:p>
    <w:p>
      <w:pPr>
        <w:pStyle w:val="ListBullet"/>
        <w:spacing w:after="50" w:line="250" w:lineRule="auto"/>
      </w:pPr>
      <w:r>
        <w:rPr>
          <w:rFonts w:ascii="Arial" w:hAnsi="Arial" w:eastAsia="Microsoft YaHei"/>
          <w:color w:val="000000"/>
          <w:sz w:val="20"/>
        </w:rPr>
        <w:t>A completed Jupyter Notebook containing Python code, outputs, explanations, and source links</w:t>
      </w:r>
    </w:p>
    <w:p>
      <w:pPr>
        <w:pStyle w:val="ListBullet"/>
        <w:spacing w:after="50" w:line="250" w:lineRule="auto"/>
      </w:pPr>
      <w:r>
        <w:rPr>
          <w:rFonts w:ascii="Arial" w:hAnsi="Arial" w:eastAsia="Microsoft YaHei"/>
          <w:color w:val="000000"/>
          <w:sz w:val="20"/>
        </w:rPr>
        <w:t>A cleaned analysis dataset with documented variable names and economy identifiers</w:t>
      </w:r>
    </w:p>
    <w:p>
      <w:pPr>
        <w:pStyle w:val="ListBullet"/>
        <w:spacing w:after="50" w:line="250" w:lineRule="auto"/>
      </w:pPr>
      <w:r>
        <w:rPr>
          <w:rFonts w:ascii="Arial" w:hAnsi="Arial" w:eastAsia="Microsoft YaHei"/>
          <w:color w:val="000000"/>
          <w:sz w:val="20"/>
        </w:rPr>
        <w:t>A final multi-panel visualization suitable for presentation at normal screen size</w:t>
      </w:r>
    </w:p>
    <w:p>
      <w:pPr>
        <w:pStyle w:val="ListBullet"/>
        <w:spacing w:after="50" w:line="250" w:lineRule="auto"/>
      </w:pPr>
      <w:r>
        <w:rPr>
          <w:rFonts w:ascii="Arial" w:hAnsi="Arial" w:eastAsia="Microsoft YaHei"/>
          <w:color w:val="000000"/>
          <w:sz w:val="20"/>
        </w:rPr>
        <w:t>A concise interpretation that reports findings, uncertainty, limitations, and reproducibility details</w:t>
      </w:r>
    </w:p>
    <w:p>
      <w:r>
        <w:br w:type="page"/>
      </w:r>
    </w:p>
    <w:p>
      <w:pPr>
        <w:pStyle w:val="Heading1"/>
        <w:keepNext/>
        <w:spacing w:before="140" w:after="80"/>
      </w:pPr>
      <w:r>
        <w:rPr>
          <w:rFonts w:ascii="Arial" w:hAnsi="Arial" w:eastAsia="Microsoft YaHei"/>
          <w:b/>
          <w:color w:val="000000"/>
          <w:sz w:val="27"/>
        </w:rPr>
        <w:t>Criteria for Success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trPr>
        <w:tc>
          <w:tcPr>
            <w:tcW w:type="dxa" w:w="1814"/>
            <w:vAlign w:val="center"/>
            <w:tcMar>
              <w:top w:w="100" w:type="dxa"/>
              <w:start w:w="120" w:type="dxa"/>
              <w:bottom w:w="100" w:type="dxa"/>
              <w:end w:w="120" w:type="dxa"/>
            </w:tcMar>
            <w:shd w:fill="17365D"/>
          </w:tcPr>
          <w:p>
            <w:pPr>
              <w:spacing w:after="0" w:before="0" w:line="240" w:lineRule="auto"/>
            </w:pPr>
            <w:r>
              <w:rPr>
                <w:rFonts w:ascii="Arial" w:hAnsi="Arial" w:eastAsia="Microsoft YaHei"/>
                <w:b/>
                <w:color w:val="FFFFFF"/>
                <w:sz w:val="17"/>
              </w:rPr>
              <w:t>Criterion</w:t>
            </w:r>
          </w:p>
        </w:tc>
        <w:tc>
          <w:tcPr>
            <w:tcW w:type="dxa" w:w="5159"/>
            <w:vAlign w:val="center"/>
            <w:tcMar>
              <w:top w:w="100" w:type="dxa"/>
              <w:start w:w="120" w:type="dxa"/>
              <w:bottom w:w="100" w:type="dxa"/>
              <w:end w:w="120" w:type="dxa"/>
            </w:tcMar>
            <w:shd w:fill="17365D"/>
          </w:tcPr>
          <w:p>
            <w:pPr>
              <w:spacing w:after="0" w:before="0" w:line="240" w:lineRule="auto"/>
            </w:pPr>
            <w:r>
              <w:rPr>
                <w:rFonts w:ascii="Arial" w:hAnsi="Arial" w:eastAsia="Microsoft YaHei"/>
                <w:b/>
                <w:color w:val="FFFFFF"/>
                <w:sz w:val="17"/>
              </w:rPr>
              <w:t>Successful result</w:t>
            </w:r>
          </w:p>
        </w:tc>
        <w:tc>
          <w:tcPr>
            <w:tcW w:type="dxa" w:w="2665"/>
            <w:vAlign w:val="center"/>
            <w:tcMar>
              <w:top w:w="100" w:type="dxa"/>
              <w:start w:w="120" w:type="dxa"/>
              <w:bottom w:w="100" w:type="dxa"/>
              <w:end w:w="120" w:type="dxa"/>
            </w:tcMar>
            <w:shd w:fill="17365D"/>
          </w:tcPr>
          <w:p>
            <w:pPr>
              <w:spacing w:after="0" w:before="0" w:line="240" w:lineRule="auto"/>
            </w:pPr>
            <w:r>
              <w:rPr>
                <w:rFonts w:ascii="Arial" w:hAnsi="Arial" w:eastAsia="Microsoft YaHei"/>
                <w:b/>
                <w:color w:val="FFFFFF"/>
                <w:sz w:val="17"/>
              </w:rPr>
              <w:t>Evidence</w:t>
            </w:r>
          </w:p>
        </w:tc>
      </w:tr>
      <w:tr>
        <w:tc>
          <w:tcPr>
            <w:tcW w:type="dxa" w:w="1814"/>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Data traceability</w:t>
            </w:r>
          </w:p>
        </w:tc>
        <w:tc>
          <w:tcPr>
            <w:tcW w:type="dxa" w:w="5159"/>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Every variable has an official source, indicator code, year, and retrieval date.</w:t>
            </w:r>
          </w:p>
        </w:tc>
        <w:tc>
          <w:tcPr>
            <w:tcW w:type="dxa" w:w="2665"/>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Source table and notebook notes</w:t>
            </w:r>
          </w:p>
        </w:tc>
      </w:tr>
      <w:tr>
        <w:tc>
          <w:tcPr>
            <w:tcW w:type="dxa" w:w="1814"/>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Data quality</w:t>
            </w:r>
          </w:p>
        </w:tc>
        <w:tc>
          <w:tcPr>
            <w:tcW w:type="dxa" w:w="5159"/>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Merged keys are unique and missing values or exclusions are reported.</w:t>
            </w:r>
          </w:p>
        </w:tc>
        <w:tc>
          <w:tcPr>
            <w:tcW w:type="dxa" w:w="2665"/>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Validation output and row counts</w:t>
            </w:r>
          </w:p>
        </w:tc>
      </w:tr>
      <w:tr>
        <w:tc>
          <w:tcPr>
            <w:tcW w:type="dxa" w:w="1814"/>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Reproducibility</w:t>
            </w:r>
          </w:p>
        </w:tc>
        <w:tc>
          <w:tcPr>
            <w:tcW w:type="dxa" w:w="5159"/>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A reader can restart the kernel and run the notebook from beginning to end without manual repairs.</w:t>
            </w:r>
          </w:p>
        </w:tc>
        <w:tc>
          <w:tcPr>
            <w:tcW w:type="dxa" w:w="2665"/>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Run all cells check with no errors</w:t>
            </w:r>
          </w:p>
        </w:tc>
      </w:tr>
      <w:tr>
        <w:tc>
          <w:tcPr>
            <w:tcW w:type="dxa" w:w="1814"/>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Statistical validity</w:t>
            </w:r>
          </w:p>
        </w:tc>
        <w:tc>
          <w:tcPr>
            <w:tcW w:type="dxa" w:w="5159"/>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The analysis reports model assumptions, diagnostics, uncertainty, and sensitivity checks.</w:t>
            </w:r>
          </w:p>
        </w:tc>
        <w:tc>
          <w:tcPr>
            <w:tcW w:type="dxa" w:w="2665"/>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Model summary and residual plots</w:t>
            </w:r>
          </w:p>
        </w:tc>
      </w:tr>
      <w:tr>
        <w:tc>
          <w:tcPr>
            <w:tcW w:type="dxa" w:w="1814"/>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Visual clarity</w:t>
            </w:r>
          </w:p>
        </w:tc>
        <w:tc>
          <w:tcPr>
            <w:tcW w:type="dxa" w:w="5159"/>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Figures remain legible at normal size and use labels, units, color, and annotation consistently.</w:t>
            </w:r>
          </w:p>
        </w:tc>
        <w:tc>
          <w:tcPr>
            <w:tcW w:type="dxa" w:w="2665"/>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Final visual checklist</w:t>
            </w:r>
          </w:p>
        </w:tc>
      </w:tr>
      <w:tr>
        <w:tc>
          <w:tcPr>
            <w:tcW w:type="dxa" w:w="1814"/>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Interpretation</w:t>
            </w:r>
          </w:p>
        </w:tc>
        <w:tc>
          <w:tcPr>
            <w:tcW w:type="dxa" w:w="5159"/>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The conclusion answers the research question without presenting association as causation.</w:t>
            </w:r>
          </w:p>
        </w:tc>
        <w:tc>
          <w:tcPr>
            <w:tcW w:type="dxa" w:w="2665"/>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Written findings and limitations</w:t>
            </w:r>
          </w:p>
        </w:tc>
      </w:tr>
    </w:tbl>
    <w:p>
      <w:pPr>
        <w:pStyle w:val="Heading1"/>
        <w:keepNext/>
        <w:spacing w:before="140" w:after="80"/>
      </w:pPr>
      <w:r>
        <w:rPr>
          <w:rFonts w:ascii="Arial" w:hAnsi="Arial" w:eastAsia="Microsoft YaHei"/>
          <w:b/>
          <w:color w:val="000000"/>
          <w:sz w:val="27"/>
        </w:rPr>
        <w:t>Collaboration and Project Management</w:t>
      </w:r>
    </w:p>
    <w:p>
      <w:pPr>
        <w:keepLines w:val="0"/>
        <w:spacing w:before="0" w:after="80" w:line="259" w:lineRule="auto"/>
      </w:pPr>
      <w:r>
        <w:rPr>
          <w:rFonts w:ascii="Arial" w:hAnsi="Arial" w:eastAsia="Microsoft YaHei"/>
          <w:color w:val="000000"/>
          <w:sz w:val="21"/>
        </w:rPr>
        <w:t>This is an individual project. I will perform the coordinator, analyst, documentation, and quality-control roles. I will keep source files unchanged, use meaningful notebook section headings, save dated checkpoints, and maintain a short decision log for exclusions or analytical changes. If I request feedback from classmates or the instructor, I will document the advice while retaining responsibility for the submitted work.</w:t>
      </w:r>
    </w:p>
    <w:p>
      <w:pPr>
        <w:pStyle w:val="Heading1"/>
        <w:keepNext/>
        <w:spacing w:before="140" w:after="80"/>
      </w:pPr>
      <w:r>
        <w:rPr>
          <w:rFonts w:ascii="Arial" w:hAnsi="Arial" w:eastAsia="Microsoft YaHei"/>
          <w:b/>
          <w:color w:val="000000"/>
          <w:sz w:val="27"/>
        </w:rPr>
        <w:t>Work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9"/>
        <w:gridCol w:w="3289"/>
        <w:gridCol w:w="3289"/>
      </w:tblGrid>
      <w:tr>
        <w:trPr>
          <w:tblHeader w:val="true"/>
        </w:trPr>
        <w:tc>
          <w:tcPr>
            <w:tcW w:type="dxa" w:w="1361"/>
            <w:vAlign w:val="center"/>
            <w:tcMar>
              <w:top w:w="100" w:type="dxa"/>
              <w:start w:w="120" w:type="dxa"/>
              <w:bottom w:w="100" w:type="dxa"/>
              <w:end w:w="120" w:type="dxa"/>
            </w:tcMar>
            <w:shd w:fill="17365D"/>
          </w:tcPr>
          <w:p>
            <w:pPr>
              <w:spacing w:after="0" w:before="0" w:line="240" w:lineRule="auto"/>
            </w:pPr>
            <w:r>
              <w:rPr>
                <w:rFonts w:ascii="Arial" w:hAnsi="Arial" w:eastAsia="Microsoft YaHei"/>
                <w:b/>
                <w:color w:val="FFFFFF"/>
                <w:sz w:val="17"/>
              </w:rPr>
              <w:t>Stage</w:t>
            </w:r>
          </w:p>
        </w:tc>
        <w:tc>
          <w:tcPr>
            <w:tcW w:type="dxa" w:w="5216"/>
            <w:vAlign w:val="center"/>
            <w:tcMar>
              <w:top w:w="100" w:type="dxa"/>
              <w:start w:w="120" w:type="dxa"/>
              <w:bottom w:w="100" w:type="dxa"/>
              <w:end w:w="120" w:type="dxa"/>
            </w:tcMar>
            <w:shd w:fill="17365D"/>
          </w:tcPr>
          <w:p>
            <w:pPr>
              <w:spacing w:after="0" w:before="0" w:line="240" w:lineRule="auto"/>
            </w:pPr>
            <w:r>
              <w:rPr>
                <w:rFonts w:ascii="Arial" w:hAnsi="Arial" w:eastAsia="Microsoft YaHei"/>
                <w:b/>
                <w:color w:val="FFFFFF"/>
                <w:sz w:val="17"/>
              </w:rPr>
              <w:t>Main work</w:t>
            </w:r>
          </w:p>
        </w:tc>
        <w:tc>
          <w:tcPr>
            <w:tcW w:type="dxa" w:w="3061"/>
            <w:vAlign w:val="center"/>
            <w:tcMar>
              <w:top w:w="100" w:type="dxa"/>
              <w:start w:w="120" w:type="dxa"/>
              <w:bottom w:w="100" w:type="dxa"/>
              <w:end w:w="120" w:type="dxa"/>
            </w:tcMar>
            <w:shd w:fill="17365D"/>
          </w:tcPr>
          <w:p>
            <w:pPr>
              <w:spacing w:after="0" w:before="0" w:line="240" w:lineRule="auto"/>
            </w:pPr>
            <w:r>
              <w:rPr>
                <w:rFonts w:ascii="Arial" w:hAnsi="Arial" w:eastAsia="Microsoft YaHei"/>
                <w:b/>
                <w:color w:val="FFFFFF"/>
                <w:sz w:val="17"/>
              </w:rPr>
              <w:t>Checkpoint</w:t>
            </w:r>
          </w:p>
        </w:tc>
      </w:tr>
      <w:tr>
        <w:tc>
          <w:tcPr>
            <w:tcW w:type="dxa" w:w="1361"/>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Week 1</w:t>
            </w:r>
          </w:p>
        </w:tc>
        <w:tc>
          <w:tcPr>
            <w:tcW w:type="dxa" w:w="5216"/>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Acquire sources and define the economy sample</w:t>
            </w:r>
          </w:p>
        </w:tc>
        <w:tc>
          <w:tcPr>
            <w:tcW w:type="dxa" w:w="3061"/>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Raw files and data dictionary</w:t>
            </w:r>
          </w:p>
        </w:tc>
      </w:tr>
      <w:tr>
        <w:tc>
          <w:tcPr>
            <w:tcW w:type="dxa" w:w="1361"/>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Week 2</w:t>
            </w:r>
          </w:p>
        </w:tc>
        <w:tc>
          <w:tcPr>
            <w:tcW w:type="dxa" w:w="5216"/>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Clean, reshape, merge, and validate</w:t>
            </w:r>
          </w:p>
        </w:tc>
        <w:tc>
          <w:tcPr>
            <w:tcW w:type="dxa" w:w="3061"/>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Analysis-ready table</w:t>
            </w:r>
          </w:p>
        </w:tc>
      </w:tr>
      <w:tr>
        <w:tc>
          <w:tcPr>
            <w:tcW w:type="dxa" w:w="1361"/>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Week 3</w:t>
            </w:r>
          </w:p>
        </w:tc>
        <w:tc>
          <w:tcPr>
            <w:tcW w:type="dxa" w:w="5216"/>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Explore distributions and bivariate relationships</w:t>
            </w:r>
          </w:p>
        </w:tc>
        <w:tc>
          <w:tcPr>
            <w:tcW w:type="dxa" w:w="3061"/>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Draft charts and statistics</w:t>
            </w:r>
          </w:p>
        </w:tc>
      </w:tr>
      <w:tr>
        <w:tc>
          <w:tcPr>
            <w:tcW w:type="dxa" w:w="1361"/>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Week 4</w:t>
            </w:r>
          </w:p>
        </w:tc>
        <w:tc>
          <w:tcPr>
            <w:tcW w:type="dxa" w:w="5216"/>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Fit and evaluate regression models</w:t>
            </w:r>
          </w:p>
        </w:tc>
        <w:tc>
          <w:tcPr>
            <w:tcW w:type="dxa" w:w="3061"/>
            <w:vAlign w:val="center"/>
            <w:tcMar>
              <w:top w:w="100" w:type="dxa"/>
              <w:start w:w="120" w:type="dxa"/>
              <w:bottom w:w="100" w:type="dxa"/>
              <w:end w:w="120" w:type="dxa"/>
            </w:tcMar>
            <w:shd w:fill="EAF1F8"/>
          </w:tcPr>
          <w:p>
            <w:pPr>
              <w:spacing w:after="0" w:before="0" w:line="240" w:lineRule="auto"/>
            </w:pPr>
            <w:r>
              <w:rPr>
                <w:rFonts w:ascii="Arial" w:hAnsi="Arial" w:eastAsia="Microsoft YaHei"/>
                <w:b w:val="0"/>
                <w:color w:val="000000"/>
                <w:sz w:val="17"/>
              </w:rPr>
              <w:t>Model and diagnostic outputs</w:t>
            </w:r>
          </w:p>
        </w:tc>
      </w:tr>
      <w:tr>
        <w:tc>
          <w:tcPr>
            <w:tcW w:type="dxa" w:w="1361"/>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Week 5</w:t>
            </w:r>
          </w:p>
        </w:tc>
        <w:tc>
          <w:tcPr>
            <w:tcW w:type="dxa" w:w="5216"/>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Refine visuals and written interpretation</w:t>
            </w:r>
          </w:p>
        </w:tc>
        <w:tc>
          <w:tcPr>
            <w:tcW w:type="dxa" w:w="3061"/>
            <w:vAlign w:val="center"/>
            <w:tcMar>
              <w:top w:w="100" w:type="dxa"/>
              <w:start w:w="120" w:type="dxa"/>
              <w:bottom w:w="100" w:type="dxa"/>
              <w:end w:w="120" w:type="dxa"/>
            </w:tcMar>
            <w:shd w:fill="FFFFFF"/>
          </w:tcPr>
          <w:p>
            <w:pPr>
              <w:spacing w:after="0" w:before="0" w:line="240" w:lineRule="auto"/>
            </w:pPr>
            <w:r>
              <w:rPr>
                <w:rFonts w:ascii="Arial" w:hAnsi="Arial" w:eastAsia="Microsoft YaHei"/>
                <w:b w:val="0"/>
                <w:color w:val="000000"/>
                <w:sz w:val="17"/>
              </w:rPr>
              <w:t>Restart-and-run quality check</w:t>
            </w:r>
          </w:p>
        </w:tc>
      </w:tr>
    </w:tbl>
    <w:p>
      <w:pPr>
        <w:pStyle w:val="Heading1"/>
        <w:keepNext/>
        <w:spacing w:before="140" w:after="80"/>
      </w:pPr>
      <w:r>
        <w:rPr>
          <w:rFonts w:ascii="Arial" w:hAnsi="Arial" w:eastAsia="Microsoft YaHei"/>
          <w:b/>
          <w:color w:val="000000"/>
          <w:sz w:val="27"/>
        </w:rPr>
        <w:t>Limitations and Responsible Use</w:t>
      </w:r>
    </w:p>
    <w:p>
      <w:pPr>
        <w:keepLines w:val="0"/>
        <w:spacing w:before="0" w:after="80" w:line="259" w:lineRule="auto"/>
      </w:pPr>
      <w:r>
        <w:rPr>
          <w:rFonts w:ascii="Arial" w:hAnsi="Arial" w:eastAsia="Microsoft YaHei"/>
          <w:color w:val="000000"/>
          <w:sz w:val="21"/>
        </w:rPr>
        <w:t>The project uses a cross-sectional regional sample, so it cannot establish causal effects. GDP measured in current US dollars is affected by exchange rates, national definitions of urban population differ, and omitted factors such as education, health systems, inequality, and age structure may influence life expectancy. The report will state the final sample size, preserve unusual observations unless a documented data error exists, and avoid ranking economies as inherently better or worse. The datasets are aggregate and contain no personal information; source attribution and license terms will be retained.</w:t>
      </w:r>
    </w:p>
    <w:p>
      <w:pPr>
        <w:pStyle w:val="Heading1"/>
        <w:keepNext/>
        <w:spacing w:before="140" w:after="80"/>
      </w:pPr>
      <w:r>
        <w:rPr>
          <w:rFonts w:ascii="Arial" w:hAnsi="Arial" w:eastAsia="Microsoft YaHei"/>
          <w:b/>
          <w:color w:val="000000"/>
          <w:sz w:val="27"/>
        </w:rPr>
        <w:t>Dataset References</w:t>
      </w:r>
    </w:p>
    <w:p>
      <w:pPr>
        <w:spacing w:after="60"/>
        <w:ind w:left="312" w:hanging="312"/>
      </w:pPr>
      <w:r>
        <w:rPr>
          <w:rFonts w:ascii="Arial" w:hAnsi="Arial" w:eastAsia="Microsoft YaHei"/>
          <w:color w:val="000000"/>
          <w:sz w:val="19"/>
        </w:rPr>
        <w:t xml:space="preserve">1. </w:t>
      </w:r>
      <w:hyperlink r:id="rId10">
        <w:r>
          <w:rPr>
            <w:rFonts w:ascii="Arial" w:hAnsi="Arial"/>
            <w:color w:val="1155CC"/>
            <w:u w:val="single"/>
            <w:sz w:val="19"/>
          </w:rPr>
          <w:t>World Bank  Life expectancy at birth total years  SP.DYN.LE00.IN</w:t>
        </w:r>
      </w:hyperlink>
    </w:p>
    <w:p>
      <w:pPr>
        <w:spacing w:after="60"/>
        <w:ind w:left="312" w:hanging="312"/>
      </w:pPr>
      <w:r>
        <w:rPr>
          <w:rFonts w:ascii="Arial" w:hAnsi="Arial" w:eastAsia="Microsoft YaHei"/>
          <w:color w:val="000000"/>
          <w:sz w:val="19"/>
        </w:rPr>
        <w:t xml:space="preserve">2. </w:t>
      </w:r>
      <w:hyperlink r:id="rId11">
        <w:r>
          <w:rPr>
            <w:rFonts w:ascii="Arial" w:hAnsi="Arial"/>
            <w:color w:val="1155CC"/>
            <w:u w:val="single"/>
            <w:sz w:val="19"/>
          </w:rPr>
          <w:t>World Bank  GDP per capita current US dollars  NY.GDP.PCAP.CD</w:t>
        </w:r>
      </w:hyperlink>
    </w:p>
    <w:p>
      <w:pPr>
        <w:spacing w:after="60"/>
        <w:ind w:left="312" w:hanging="312"/>
      </w:pPr>
      <w:r>
        <w:rPr>
          <w:rFonts w:ascii="Arial" w:hAnsi="Arial" w:eastAsia="Microsoft YaHei"/>
          <w:color w:val="000000"/>
          <w:sz w:val="19"/>
        </w:rPr>
        <w:t xml:space="preserve">3. </w:t>
      </w:r>
      <w:hyperlink r:id="rId12">
        <w:r>
          <w:rPr>
            <w:rFonts w:ascii="Arial" w:hAnsi="Arial"/>
            <w:color w:val="1155CC"/>
            <w:u w:val="single"/>
            <w:sz w:val="19"/>
          </w:rPr>
          <w:t>World Bank  Urban population percent of total  SP.URB.TOTL.IN.ZS</w:t>
        </w:r>
      </w:hyperlink>
    </w:p>
    <w:sectPr w:rsidR="00FC693F" w:rsidRPr="0006063C" w:rsidSect="00034616">
      <w:footerReference w:type="default" r:id="rId9"/>
      <w:pgSz w:w="11906" w:h="16838"/>
      <w:pgMar w:top="879" w:right="1020" w:bottom="822"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eastAsia="Microsoft YaHei"/>
        <w:color w:val="505050"/>
        <w:sz w:val="16"/>
      </w:rPr>
      <w:t xml:space="preserve">SONG XINYUE   UC627465   CISC3015 Assignment 01   |   Page </w:t>
    </w:r>
    <w:r>
      <w:rPr>
        <w:rFonts w:ascii="Arial" w:hAnsi="Arial" w:eastAsia="Microsoft YaHei"/>
        <w:color w:val="50505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ata.worldbank.org/indicator/SP.DYN.LE00.IN" TargetMode="External"/><Relationship Id="rId11" Type="http://schemas.openxmlformats.org/officeDocument/2006/relationships/hyperlink" Target="https://data.worldbank.org/indicator/NY.GDP.PCAP.CD" TargetMode="External"/><Relationship Id="rId12" Type="http://schemas.openxmlformats.org/officeDocument/2006/relationships/hyperlink" Target="https://data.worldbank.org/indicator/SP.URB.TOTL.IN.Z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Development and Life Expectancy in East Asia and the Pacific</dc:title>
  <dc:subject>CISC3015 Assignment 01 Preliminary Project Proposal</dc:subject>
  <dc:creator>宋欣悦 SONG XINYUE</dc:creator>
  <cp:keywords>CISC3015, data visualization, World Bank, life expectancy, GDP, urbanization</cp:keywords>
  <dc:description>Prepared for CISC3015 Assignment 01</dc:description>
  <cp:lastModifiedBy/>
  <cp:revision>1</cp:revision>
  <dcterms:created xsi:type="dcterms:W3CDTF">2013-12-23T23:15:00Z</dcterms:created>
  <dcterms:modified xsi:type="dcterms:W3CDTF">2013-12-23T23:15:00Z</dcterms:modified>
  <cp:category/>
</cp:coreProperties>
</file>