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第四章 投标报价、投标文件编制和投标保证金</w:t>
      </w:r>
    </w:p>
    <w:p>
      <w:r>
        <w:t>2.5 投标文件应按照招标文件规定的顺序，统一用A4规格幅面打印、装订成册并编制目录。</w:t>
      </w:r>
    </w:p>
    <w:p>
      <w:r>
        <w:t>投标截止时间：2026年8月13日9时00分。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