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20" w:line="317" w:lineRule="auto"/>
        <w:jc w:val="center"/>
        <w:keepNext w:val="0"/>
        <w:widowControl/>
        <w:bidi w:val="1"/>
      </w:pPr>
      <w:r>
        <w:rPr>
          <w:rFonts w:ascii="Tahoma" w:hAnsi="Tahoma" w:cs="Tahoma"/>
          <w:b/>
          <w:i w:val="0"/>
          <w:color w:val="92251F"/>
          <w:sz w:val="22"/>
          <w:rtl w:val="1"/>
        </w:rPr>
        <w:t>پیشنهاد فنی، اجرایی و امکان‌سنجی</w:t>
      </w:r>
    </w:p>
    <w:tbl>
      <w:tblPr>
        <w:tblW w:type="auto" w:w="0"/>
        <w:jc w:val="center"/>
        <w:tblLayout w:type="fixed"/>
        <w:tblLook w:firstColumn="1" w:firstRow="1" w:lastColumn="0" w:lastRow="0" w:noHBand="0" w:noVBand="1" w:val="04A0"/>
      </w:tblPr>
      <w:tblGrid>
        <w:gridCol w:w="4933"/>
        <w:gridCol w:w="4933"/>
      </w:tblGrid>
      <w:tr>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440000" cy="1440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1"/>
                          <a:stretch>
                            <a:fillRect/>
                          </a:stretch>
                        </pic:blipFill>
                        <pic:spPr>
                          <a:xfrm>
                            <a:off x="0" y="0"/>
                            <a:ext cx="1440000" cy="1440000"/>
                          </a:xfrm>
                          <a:prstGeom prst="rect"/>
                        </pic:spPr>
                      </pic:pic>
                    </a:graphicData>
                  </a:graphic>
                </wp:inline>
              </w:drawing>
            </w:r>
          </w:p>
        </w:tc>
        <w:tc>
          <w:tcPr>
            <w:tcW w:type="dxa" w:w="4933"/>
            <w:tcBorders>
              <w:top w:val="single" w:sz="0" w:color="FFFFFF"/>
              <w:start w:val="single" w:sz="0" w:color="FFFFFF"/>
              <w:bottom w:val="single" w:sz="0" w:color="FFFFFF"/>
              <w:end w:val="single" w:sz="0" w:color="FFFFFF"/>
              <w:insideH w:val="single" w:sz="0" w:color="FFFFFF"/>
              <w:insideV w:val="single" w:sz="0" w:color="FFFFFF"/>
            </w:tcBorders>
            <w:tcMar>
              <w:top w:w="0" w:type="dxa"/>
              <w:start w:w="80" w:type="dxa"/>
              <w:bottom w:w="0" w:type="dxa"/>
              <w:end w:w="80" w:type="dxa"/>
            </w:tcMar>
          </w:tcPr>
          <w:p>
            <w:pPr>
              <w:jc w:val="center"/>
            </w:pPr>
            <w:r>
              <w:drawing>
                <wp:inline xmlns:a="http://schemas.openxmlformats.org/drawingml/2006/main" xmlns:pic="http://schemas.openxmlformats.org/drawingml/2006/picture">
                  <wp:extent cx="1800000" cy="829425"/>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12"/>
                          <a:stretch>
                            <a:fillRect/>
                          </a:stretch>
                        </pic:blipFill>
                        <pic:spPr>
                          <a:xfrm>
                            <a:off x="0" y="0"/>
                            <a:ext cx="1800000" cy="829425"/>
                          </a:xfrm>
                          <a:prstGeom prst="rect"/>
                        </pic:spPr>
                      </pic:pic>
                    </a:graphicData>
                  </a:graphic>
                </wp:inline>
              </w:drawing>
            </w:r>
          </w:p>
        </w:tc>
      </w:tr>
    </w:tbl>
    <w:p>
      <w:pPr>
        <w:spacing w:before="400" w:after="140" w:line="317" w:lineRule="auto"/>
        <w:jc w:val="center"/>
        <w:keepNext w:val="0"/>
        <w:widowControl/>
        <w:bidi w:val="1"/>
      </w:pPr>
      <w:r>
        <w:rPr>
          <w:rFonts w:ascii="Tahoma" w:hAnsi="Tahoma" w:cs="Tahoma"/>
          <w:b/>
          <w:i w:val="0"/>
          <w:color w:val="211A3D"/>
          <w:sz w:val="50"/>
          <w:rtl w:val="1"/>
        </w:rPr>
        <w:t>سامانه هوشمند «همراهِ انتخاب»</w:t>
      </w:r>
    </w:p>
    <w:p>
      <w:pPr>
        <w:spacing w:before="0" w:after="400" w:line="300" w:lineRule="auto"/>
        <w:jc w:val="center"/>
        <w:keepNext w:val="0"/>
        <w:widowControl/>
        <w:bidi w:val="1"/>
      </w:pPr>
      <w:r>
        <w:rPr>
          <w:rFonts w:ascii="Tahoma" w:hAnsi="Tahoma" w:cs="Tahoma"/>
          <w:b w:val="0"/>
          <w:i w:val="0"/>
          <w:color w:val="92251F"/>
          <w:sz w:val="26"/>
          <w:rtl w:val="1"/>
        </w:rPr>
        <w:t>پلتفرم حمایت از تصمیم آگاهانه برای ازدواج، احرازپذیری اطلاعات و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چشم‌انداز پروژه  </w:t>
            </w:r>
            <w:r>
              <w:rPr>
                <w:rFonts w:ascii="Tahoma" w:hAnsi="Tahoma" w:cs="Tahoma"/>
                <w:b w:val="0"/>
                <w:i w:val="0"/>
                <w:color w:val="262433"/>
                <w:sz w:val="20"/>
                <w:rtl w:val="1"/>
              </w:rPr>
              <w:t>ایجاد یک زیرساخت مورد اعتماد برای کاهش عدم‌تقارن اطلاعات، تقویت گفت‌وگوی آگاهانه و هدایت زوجین به خدمات معتبر؛ با رضایت دوطرفه، دسترسی رسمی، حداقل‌گرایی داده و نظارت انسانی.</w:t>
            </w:r>
          </w:p>
        </w:tc>
      </w:tr>
    </w:tbl>
    <w:p>
      <w:pPr>
        <w:spacing w:after="20"/>
      </w:pPr>
    </w:p>
    <w:p>
      <w:pPr>
        <w:spacing w:before="320" w:after="100" w:line="317" w:lineRule="auto"/>
        <w:jc w:val="center"/>
        <w:keepNext w:val="0"/>
        <w:widowControl/>
        <w:bidi w:val="1"/>
      </w:pPr>
      <w:r>
        <w:rPr>
          <w:rFonts w:ascii="Tahoma" w:hAnsi="Tahoma" w:cs="Tahoma"/>
          <w:b/>
          <w:i w:val="0"/>
          <w:color w:val="262433"/>
          <w:sz w:val="20"/>
          <w:rtl w:val="1"/>
        </w:rPr>
        <w:t>مخاطب: نهاد سفارش‌دهنده و شرکای اجرایی بین‌دستگاهی</w:t>
      </w:r>
    </w:p>
    <w:p>
      <w:pPr>
        <w:spacing w:before="0" w:after="0" w:line="317" w:lineRule="auto"/>
        <w:jc w:val="center"/>
        <w:keepNext w:val="0"/>
        <w:widowControl/>
        <w:bidi w:val="1"/>
      </w:pPr>
      <w:r>
        <w:rPr>
          <w:rFonts w:ascii="Tahoma" w:hAnsi="Tahoma" w:cs="Tahoma"/>
          <w:b w:val="0"/>
          <w:i w:val="0"/>
          <w:color w:val="66636F"/>
          <w:sz w:val="18"/>
          <w:rtl w:val="1"/>
        </w:rPr>
        <w:t>نسخه ۱.۰ | تیر ۱۴۰۵ | طبقه‌بندی: پیشنهادی - نیازمند بررسی حقوقی و فنی کارفرما</w:t>
      </w:r>
    </w:p>
    <w:p>
      <w:r>
        <w:br w:type="page"/>
      </w:r>
    </w:p>
    <w:p>
      <w:pPr>
        <w:pStyle w:val="Heading1"/>
        <w:spacing w:before="320" w:after="180"/>
        <w:jc w:val="right"/>
        <w:keepNext/>
        <w:bidi w:val="1"/>
      </w:pPr>
      <w:r>
        <w:rPr>
          <w:rFonts w:ascii="Tahoma" w:hAnsi="Tahoma" w:cs="Tahoma"/>
          <w:b/>
          <w:i w:val="0"/>
          <w:color w:val="211A3D"/>
          <w:sz w:val="32"/>
          <w:rtl w:val="1"/>
        </w:rPr>
        <w:t>خلاصه مدیریتی</w:t>
      </w:r>
    </w:p>
    <w:p>
      <w:pPr>
        <w:spacing w:before="0" w:after="160" w:line="317" w:lineRule="auto"/>
        <w:jc w:val="right"/>
        <w:keepNext w:val="0"/>
        <w:widowControl/>
        <w:bidi w:val="1"/>
      </w:pPr>
      <w:r>
        <w:rPr>
          <w:rFonts w:ascii="Tahoma" w:hAnsi="Tahoma" w:cs="Tahoma"/>
          <w:b w:val="0"/>
          <w:i w:val="0"/>
          <w:color w:val="262433"/>
          <w:sz w:val="21"/>
          <w:rtl w:val="1"/>
        </w:rPr>
        <w:t>سامانه «همراهِ انتخاب» به‌عنوان یک خدمت عمومی-فناورانه پیشنهاد می‌شود تا افراد در آستانه ازدواج بتوانند با رضایت متقابل، اطلاعات ادعاشده را از مسیرهای معتبر بررسی کنند، پرسش‌های مهم را ساختارمند پیش ببرند و در صورت نیاز به مشاور انسانی یا خدمت حمایتی هدایت شوند. ارزش اصلی سامانه در گردآوری پنهانی اطلاعات نیست؛ بلکه در تبدیل داده‌های مجاز و قابل استناد به تصویری روشن، قابل توضیح و قابل اعتراض برای خود افراد است.</w:t>
      </w:r>
    </w:p>
    <w:p>
      <w:pPr>
        <w:spacing w:before="0" w:after="160" w:line="317" w:lineRule="auto"/>
        <w:jc w:val="right"/>
        <w:keepNext w:val="0"/>
        <w:widowControl/>
        <w:bidi w:val="1"/>
      </w:pPr>
      <w:r>
        <w:rPr>
          <w:rFonts w:ascii="Tahoma" w:hAnsi="Tahoma" w:cs="Tahoma"/>
          <w:b w:val="0"/>
          <w:i w:val="0"/>
          <w:color w:val="262433"/>
          <w:sz w:val="21"/>
          <w:rtl w:val="1"/>
        </w:rPr>
        <w:t>این پروپوزال درخواست اولیه را به یک طرح قابل دفاع حقوقی و اجرایی تبدیل می‌کند. اتصال به داده‌های قضایی، تحصیلی و شغلی تنها در صورت وجود مجوز، تفاهم‌نامه، API رسمی، احراز هویت قوی و رضایت معتبر قابل اجراست. برای سابقه قضایی نیز الگوی پیشنهادی، دریافت «گواهی رسمی ارائه‌شده توسط خود فرد» یا استعلام مجاز با توکن یک‌بارمصرف است؛ نه بازیابی تاریخچه کامل پرونده‌ها یا دسترسی به حساب ثنای اشخاص.</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جمع‌بندی تصمیم  </w:t>
            </w:r>
            <w:r>
              <w:rPr>
                <w:rFonts w:ascii="Tahoma" w:hAnsi="Tahoma" w:cs="Tahoma"/>
                <w:b w:val="0"/>
                <w:i w:val="0"/>
                <w:color w:val="262433"/>
                <w:sz w:val="20"/>
                <w:rtl w:val="1"/>
              </w:rPr>
              <w:t>شروع پروژه توصیه می‌شود، اما فقط با یک فاز صفر حقوقی-تعامل‌پذیری و سپس MVP کم‌ریسک. قابلیت‌های پرریسک مانند دسترسی به تاریخچه قضایی اشخاص ثالث، تحلیل لایک‌ها یا حساب‌های خصوصی و برچسب‌زنی عقیدتی باید خارج از دامنه باقی بمانند مگر اینکه مبنای قانونی صریح و سازوکار رضایت معتبر ایجاد شود.</w:t>
            </w:r>
          </w:p>
        </w:tc>
      </w:tr>
    </w:tbl>
    <w:p>
      <w:pPr>
        <w:spacing w:after="20"/>
      </w:pPr>
    </w:p>
    <w:p>
      <w:pPr>
        <w:pStyle w:val="Heading2"/>
        <w:spacing w:before="220" w:after="120"/>
        <w:jc w:val="right"/>
        <w:keepNext/>
        <w:bidi w:val="1"/>
      </w:pPr>
      <w:r>
        <w:rPr>
          <w:rFonts w:ascii="Tahoma" w:hAnsi="Tahoma" w:cs="Tahoma"/>
          <w:b/>
          <w:i w:val="0"/>
          <w:color w:val="92251F"/>
          <w:sz w:val="26"/>
          <w:rtl w:val="1"/>
        </w:rPr>
        <w:t>نتایج مورد انتظار</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عدم‌تقارن اطلاعات از طریق مدارک قابل راستی‌آزمایی و ثبت منشأ هر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افزایش کیفیت گفت‌وگوهای پیش از ازدواج با پرسشنامه و مسیرهای مشاوره مبتنی بر شواهد.</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جعل، تحریف و برداشت اشتباه با اعتبارسنجی سند، کنترل تناقض و نمایش سطح اطمینان.</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مسیر حمایتی پس از ازدواج شامل مشاوره، مهارت‌آموزی و معرفی داوطلبانه به فرصت‌های شغلی.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الگوی حاکمیت داده قابل ممیزی برای همکاری ایمن با دستگاه‌های عمومی و خصوصی.</w:t>
      </w:r>
    </w:p>
    <w:p>
      <w:pPr>
        <w:pStyle w:val="Heading1"/>
        <w:spacing w:before="320" w:after="180"/>
        <w:jc w:val="right"/>
        <w:keepNext/>
        <w:bidi w:val="1"/>
      </w:pPr>
      <w:r>
        <w:rPr>
          <w:rFonts w:ascii="Tahoma" w:hAnsi="Tahoma" w:cs="Tahoma"/>
          <w:b/>
          <w:i w:val="0"/>
          <w:color w:val="211A3D"/>
          <w:sz w:val="32"/>
          <w:rtl w:val="1"/>
        </w:rPr>
        <w:t>فهرست مطالب</w:t>
      </w:r>
    </w:p>
    <w:p>
      <w:pPr>
        <w:pStyle w:val="ListBullet"/>
        <w:spacing w:after="30" w:line="252" w:lineRule="auto"/>
        <w:ind w:left="0" w:right="312" w:hanging="142"/>
        <w:jc w:val="right"/>
        <w:widowControl/>
        <w:bidi w:val="1"/>
      </w:pPr>
      <w:r>
        <w:rPr>
          <w:rFonts w:ascii="Tahoma" w:hAnsi="Tahoma" w:cs="Tahoma"/>
          <w:b w:val="0"/>
          <w:i w:val="0"/>
          <w:color w:val="211A3D"/>
          <w:sz w:val="18"/>
          <w:rtl w:val="1"/>
        </w:rPr>
        <w:t>۱. بیان مسئله و ضرورت</w:t>
      </w:r>
    </w:p>
    <w:p>
      <w:pPr>
        <w:pStyle w:val="ListBullet"/>
        <w:spacing w:after="30" w:line="252" w:lineRule="auto"/>
        <w:ind w:left="0" w:right="312" w:hanging="142"/>
        <w:jc w:val="right"/>
        <w:widowControl/>
        <w:bidi w:val="1"/>
      </w:pPr>
      <w:r>
        <w:rPr>
          <w:rFonts w:ascii="Tahoma" w:hAnsi="Tahoma" w:cs="Tahoma"/>
          <w:b w:val="0"/>
          <w:i w:val="0"/>
          <w:color w:val="211A3D"/>
          <w:sz w:val="18"/>
          <w:rtl w:val="1"/>
        </w:rPr>
        <w:t>۲. چشم‌انداز، اصول و اهداف</w:t>
      </w:r>
    </w:p>
    <w:p>
      <w:pPr>
        <w:pStyle w:val="ListBullet"/>
        <w:spacing w:after="30" w:line="252" w:lineRule="auto"/>
        <w:ind w:left="0" w:right="312" w:hanging="142"/>
        <w:jc w:val="right"/>
        <w:widowControl/>
        <w:bidi w:val="1"/>
      </w:pPr>
      <w:r>
        <w:rPr>
          <w:rFonts w:ascii="Tahoma" w:hAnsi="Tahoma" w:cs="Tahoma"/>
          <w:b w:val="0"/>
          <w:i w:val="0"/>
          <w:color w:val="211A3D"/>
          <w:sz w:val="18"/>
          <w:rtl w:val="1"/>
        </w:rPr>
        <w:t>۳. ذی‌نفعان و تجربه کاربر</w:t>
      </w:r>
    </w:p>
    <w:p>
      <w:pPr>
        <w:pStyle w:val="ListBullet"/>
        <w:spacing w:after="30" w:line="252" w:lineRule="auto"/>
        <w:ind w:left="0" w:right="312" w:hanging="142"/>
        <w:jc w:val="right"/>
        <w:widowControl/>
        <w:bidi w:val="1"/>
      </w:pPr>
      <w:r>
        <w:rPr>
          <w:rFonts w:ascii="Tahoma" w:hAnsi="Tahoma" w:cs="Tahoma"/>
          <w:b w:val="0"/>
          <w:i w:val="0"/>
          <w:color w:val="211A3D"/>
          <w:sz w:val="18"/>
          <w:rtl w:val="1"/>
        </w:rPr>
        <w:t>۴. دامنه محصول و ماژول‌ها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۵. ماتریس امکان‌پذیری قابلیت‌ها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۶. معماری فنی و هوش مصنوعی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۷. حاکمیت داده، حریم خصوصی و الزامات حقوقی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۸. امنیت و تاب‌آوری</w:t>
      </w:r>
    </w:p>
    <w:p>
      <w:pPr>
        <w:pStyle w:val="ListBullet"/>
        <w:spacing w:after="30" w:line="252" w:lineRule="auto"/>
        <w:ind w:left="0" w:right="312" w:hanging="142"/>
        <w:jc w:val="right"/>
        <w:widowControl/>
        <w:bidi w:val="1"/>
      </w:pPr>
      <w:r>
        <w:rPr>
          <w:rFonts w:ascii="Tahoma" w:hAnsi="Tahoma" w:cs="Tahoma"/>
          <w:b w:val="0"/>
          <w:i w:val="0"/>
          <w:color w:val="211A3D"/>
          <w:sz w:val="18"/>
          <w:rtl w:val="1"/>
        </w:rPr>
        <w:t>۹. نقشه راه اجرا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۱۰. تیم، اقلام تحویلی و مدل هزینه</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۱۱. شاخص‌های موفقیت و پذیرش</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۱۲. ریسک‌ها و کنترل‌ها</w:t>
      </w:r>
    </w:p>
    <w:p>
      <w:pPr>
        <w:pStyle w:val="ListBullet"/>
        <w:spacing w:after="30" w:line="252" w:lineRule="auto"/>
        <w:ind w:left="0" w:right="312" w:hanging="142"/>
        <w:jc w:val="right"/>
        <w:widowControl/>
        <w:bidi w:val="1"/>
      </w:pPr>
      <w:r>
        <w:rPr>
          <w:rFonts w:ascii="Tahoma" w:hAnsi="Tahoma" w:cs="Tahoma"/>
          <w:b w:val="0"/>
          <w:i w:val="0"/>
          <w:color w:val="211A3D"/>
          <w:sz w:val="18"/>
          <w:rtl w:val="1"/>
        </w:rPr>
        <w:t>۱۳. جمع‌بندی و تصمیمات مورد نیاز</w:t>
      </w:r>
    </w:p>
    <w:p>
      <w:pPr>
        <w:pStyle w:val="ListBullet"/>
        <w:spacing w:after="30" w:line="252" w:lineRule="auto"/>
        <w:ind w:left="0" w:right="312" w:hanging="142"/>
        <w:jc w:val="right"/>
        <w:widowControl/>
        <w:bidi w:val="1"/>
      </w:pPr>
      <w:r>
        <w:rPr>
          <w:rFonts w:ascii="Tahoma" w:hAnsi="Tahoma" w:cs="Tahoma"/>
          <w:b w:val="0"/>
          <w:i w:val="0"/>
          <w:color w:val="211A3D"/>
          <w:sz w:val="18"/>
          <w:rtl w:val="1"/>
        </w:rPr>
        <w:t>پیوست‌ها و منابع</w:t>
      </w:r>
    </w:p>
    <w:p>
      <w:r>
        <w:br w:type="page"/>
      </w:r>
    </w:p>
    <w:p>
      <w:pPr>
        <w:pStyle w:val="Heading1"/>
        <w:spacing w:before="320" w:after="180"/>
        <w:jc w:val="right"/>
        <w:keepNext/>
        <w:bidi w:val="1"/>
      </w:pPr>
      <w:r>
        <w:rPr>
          <w:rFonts w:ascii="Tahoma" w:hAnsi="Tahoma" w:cs="Tahoma"/>
          <w:b/>
          <w:i w:val="0"/>
          <w:color w:val="211A3D"/>
          <w:sz w:val="32"/>
          <w:rtl w:val="1"/>
        </w:rPr>
        <w:t>۱. بیان مسئله و ضرورت</w:t>
      </w:r>
    </w:p>
    <w:p>
      <w:pPr>
        <w:pStyle w:val="Heading2"/>
        <w:spacing w:before="220" w:after="120"/>
        <w:jc w:val="right"/>
        <w:keepNext/>
        <w:bidi w:val="1"/>
      </w:pPr>
      <w:r>
        <w:rPr>
          <w:rFonts w:ascii="Tahoma" w:hAnsi="Tahoma" w:cs="Tahoma"/>
          <w:b/>
          <w:i w:val="0"/>
          <w:color w:val="92251F"/>
          <w:sz w:val="26"/>
          <w:rtl w:val="1"/>
        </w:rPr>
        <w:t>۱-۱. مسئله محوری</w:t>
      </w:r>
    </w:p>
    <w:p>
      <w:pPr>
        <w:spacing w:before="0" w:after="160" w:line="317" w:lineRule="auto"/>
        <w:jc w:val="right"/>
        <w:keepNext w:val="0"/>
        <w:widowControl/>
        <w:bidi w:val="1"/>
      </w:pPr>
      <w:r>
        <w:rPr>
          <w:rFonts w:ascii="Tahoma" w:hAnsi="Tahoma" w:cs="Tahoma"/>
          <w:b w:val="0"/>
          <w:i w:val="0"/>
          <w:color w:val="262433"/>
          <w:sz w:val="21"/>
          <w:rtl w:val="1"/>
        </w:rPr>
        <w:t>تصمیم برای ازدواج با داده‌های پراکنده، روایت‌های شفاهی، پرس‌وجوهای غیررسمی و محدودیت زمان مواجه است. در چنین محیطی، هم احتمال پنهان‌ماندن واقعیت‌های مهم وجود دارد و هم احتمال شکل‌گیری قضاوت نادرست درباره فرد بر پایه شایعه، تشابه اسمی یا داده بدون زمینه. بنابراین مسئله صرفاً «کمبود داده» نیست؛ مسئله اصلی، کمبود اطلاعات معتبر، متناسب، رضایت‌محور و قابل توضیح است.</w:t>
      </w:r>
    </w:p>
    <w:p>
      <w:pPr>
        <w:pStyle w:val="Heading2"/>
        <w:spacing w:before="220" w:after="120"/>
        <w:jc w:val="right"/>
        <w:keepNext/>
        <w:bidi w:val="1"/>
      </w:pPr>
      <w:r>
        <w:rPr>
          <w:rFonts w:ascii="Tahoma" w:hAnsi="Tahoma" w:cs="Tahoma"/>
          <w:b/>
          <w:i w:val="0"/>
          <w:color w:val="92251F"/>
          <w:sz w:val="26"/>
          <w:rtl w:val="1"/>
        </w:rPr>
        <w:t>۱-۲. فرصت مداخله</w:t>
      </w:r>
    </w:p>
    <w:p>
      <w:pPr>
        <w:spacing w:before="0" w:after="160" w:line="317" w:lineRule="auto"/>
        <w:jc w:val="right"/>
        <w:keepNext w:val="0"/>
        <w:widowControl/>
        <w:bidi w:val="1"/>
      </w:pPr>
      <w:r>
        <w:rPr>
          <w:rFonts w:ascii="Tahoma" w:hAnsi="Tahoma" w:cs="Tahoma"/>
          <w:b w:val="0"/>
          <w:i w:val="0"/>
          <w:color w:val="262433"/>
          <w:sz w:val="21"/>
          <w:rtl w:val="1"/>
        </w:rPr>
        <w:t>یک سامانه هوشمند می‌تواند نقش هماهنگ‌کننده را بر عهده گیرد: دریافت ادعاها و مدارک، ثبت رضایت، استعلام مجاز، تشخیص ناسازگاری‌های آشکار، خلاصه‌سازی با ذکر منبع، طرح پرسش‌های تکمیلی و ارجاع موارد حساس به انسان. این سامانه جایگزین شناخت، مشاوره یا تصمیم فردی نیست؛ بلکه زیرساخت تصمیم بهتر است.</w:t>
      </w:r>
    </w:p>
    <w:p>
      <w:pPr>
        <w:pStyle w:val="Heading2"/>
        <w:spacing w:before="220" w:after="120"/>
        <w:jc w:val="right"/>
        <w:keepNext/>
        <w:bidi w:val="1"/>
      </w:pPr>
      <w:r>
        <w:rPr>
          <w:rFonts w:ascii="Tahoma" w:hAnsi="Tahoma" w:cs="Tahoma"/>
          <w:b/>
          <w:i w:val="0"/>
          <w:color w:val="92251F"/>
          <w:sz w:val="26"/>
          <w:rtl w:val="1"/>
        </w:rPr>
        <w:t>۱-۳. مرز مسئله</w:t>
      </w:r>
    </w:p>
    <w:tbl>
      <w:tblPr>
        <w:bidiVisual w:val="1"/>
        <w:tblW w:type="dxa" w:w="9438"/>
        <w:tblLayout w:type="fixed"/>
        <w:tblLook w:firstColumn="1" w:firstRow="1" w:lastColumn="0" w:lastRow="0" w:noHBand="0" w:noVBand="1" w:val="04A0"/>
        <w:jc w:val="center"/>
        <w:tblInd w:w="120" w:type="dxa"/>
      </w:tblPr>
      <w:tblGrid>
        <w:gridCol w:w="1757"/>
        <w:gridCol w:w="3855"/>
        <w:gridCol w:w="3826"/>
      </w:tblGrid>
      <w:tr>
        <w:trPr>
          <w:tblHeader/>
        </w:trP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موضوع</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رویکرد پیشنهادی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رویکرد مردود یا پرریسک</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اطلاعات قضایی</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رسمی با مشارکت خود فرد یا استعلام مجاز</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ورود به حساب ثنا، دریافت تاریخچه پرونده‌ها یا جست‌وجوی اشخاص ثالث</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ردپای وب</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محتوای عمومیِ معرفی‌شده توسط صاحب حساب با ذکر شواهد</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خزش حساب خصوصی، تحلیل مخفیانه لایک‌ها یا برچسب‌گذاری عقیدتی</w:t>
            </w:r>
          </w:p>
        </w:tc>
      </w:tr>
      <w:tr>
        <w:tc>
          <w:tcPr>
            <w:tcW w:type="dxa" w:w="175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تحصیل و اشتغال</w:t>
            </w:r>
          </w:p>
        </w:tc>
        <w:tc>
          <w:tcPr>
            <w:tcW w:type="dxa" w:w="385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مدرک دیجیتال، QR/امضای معتبر یا API رسمی</w:t>
            </w:r>
          </w:p>
        </w:tc>
        <w:tc>
          <w:tcPr>
            <w:tcW w:type="dxa" w:w="382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اتکا به جست‌وجوی نام یا داده خریداری‌شده از واسطه</w:t>
            </w:r>
          </w:p>
        </w:tc>
      </w:tr>
      <w:tr>
        <w:tc>
          <w:tcPr>
            <w:tcW w:type="dxa" w:w="175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سازگاری</w:t>
            </w:r>
          </w:p>
        </w:tc>
        <w:tc>
          <w:tcPr>
            <w:tcW w:type="dxa" w:w="385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توصیه قابل توضیح و موضوعات قابل گفت‌وگو</w:t>
            </w:r>
          </w:p>
        </w:tc>
        <w:tc>
          <w:tcPr>
            <w:tcW w:type="dxa" w:w="382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نمره قطعی همسر مناسب/نامناسب یا تصمیم خودکار</w:t>
            </w:r>
          </w:p>
        </w:tc>
      </w:tr>
    </w:tbl>
    <w:p>
      <w:pPr>
        <w:spacing w:after="40"/>
      </w:pPr>
    </w:p>
    <w:p>
      <w:pPr>
        <w:pStyle w:val="Heading1"/>
        <w:spacing w:before="320" w:after="180"/>
        <w:jc w:val="right"/>
        <w:keepNext/>
        <w:bidi w:val="1"/>
      </w:pPr>
      <w:r>
        <w:rPr>
          <w:rFonts w:ascii="Tahoma" w:hAnsi="Tahoma" w:cs="Tahoma"/>
          <w:b/>
          <w:i w:val="0"/>
          <w:color w:val="211A3D"/>
          <w:sz w:val="32"/>
          <w:rtl w:val="1"/>
        </w:rPr>
        <w:t>۲. چشم‌انداز، اصول و اهداف</w:t>
      </w:r>
    </w:p>
    <w:p>
      <w:pPr>
        <w:pStyle w:val="Heading2"/>
        <w:spacing w:before="220" w:after="120"/>
        <w:jc w:val="right"/>
        <w:keepNext/>
        <w:bidi w:val="1"/>
      </w:pPr>
      <w:r>
        <w:rPr>
          <w:rFonts w:ascii="Tahoma" w:hAnsi="Tahoma" w:cs="Tahoma"/>
          <w:b/>
          <w:i w:val="0"/>
          <w:color w:val="92251F"/>
          <w:sz w:val="26"/>
          <w:rtl w:val="1"/>
        </w:rPr>
        <w:t>۲-۱. چشم‌انداز</w:t>
      </w:r>
    </w:p>
    <w:p>
      <w:pPr>
        <w:spacing w:before="0" w:after="160" w:line="317" w:lineRule="auto"/>
        <w:jc w:val="right"/>
        <w:keepNext w:val="0"/>
        <w:widowControl/>
        <w:bidi w:val="1"/>
      </w:pPr>
      <w:r>
        <w:rPr>
          <w:rFonts w:ascii="Tahoma" w:hAnsi="Tahoma" w:cs="Tahoma"/>
          <w:b w:val="0"/>
          <w:i w:val="0"/>
          <w:color w:val="262433"/>
          <w:sz w:val="21"/>
          <w:rtl w:val="1"/>
        </w:rPr>
        <w:t>«هر فرد پیش از ازدواج بتواند با اختیار و آگاهی، اطلاعات مهم را از مسیر قابل اعتماد بررسی کند، ابهام‌ها را به گفت‌وگو تبدیل کند و بدون واگذاری اختیار تصمیم به الگوریتم، از حمایت حرفه‌ای بهره‌مند شود.»</w:t>
      </w:r>
    </w:p>
    <w:p>
      <w:pPr>
        <w:pStyle w:val="Heading2"/>
        <w:spacing w:before="220" w:after="120"/>
        <w:jc w:val="right"/>
        <w:keepNext/>
        <w:bidi w:val="1"/>
      </w:pPr>
      <w:r>
        <w:rPr>
          <w:rFonts w:ascii="Tahoma" w:hAnsi="Tahoma" w:cs="Tahoma"/>
          <w:b/>
          <w:i w:val="0"/>
          <w:color w:val="92251F"/>
          <w:sz w:val="26"/>
          <w:rtl w:val="1"/>
        </w:rPr>
        <w:t>۲-۲. اصول طراحی غیرقابل مذاکره</w:t>
      </w:r>
    </w:p>
    <w:p>
      <w:pPr>
        <w:spacing w:before="0" w:after="100" w:line="300" w:lineRule="auto"/>
        <w:jc w:val="right"/>
        <w:keepNext w:val="0"/>
        <w:widowControl/>
        <w:bidi w:val="1"/>
      </w:pPr>
      <w:r>
        <w:rPr>
          <w:rFonts w:ascii="Tahoma" w:hAnsi="Tahoma" w:cs="Tahoma"/>
          <w:b/>
          <w:i w:val="0"/>
          <w:color w:val="92251F"/>
          <w:sz w:val="20"/>
          <w:rtl w:val="1"/>
        </w:rPr>
        <w:t xml:space="preserve">رضایت دوطرفه و قابل پس‌گرفتن: </w:t>
      </w:r>
      <w:r>
        <w:rPr>
          <w:rFonts w:ascii="Tahoma" w:hAnsi="Tahoma" w:cs="Tahoma"/>
          <w:b w:val="0"/>
          <w:i w:val="0"/>
          <w:color w:val="262433"/>
          <w:sz w:val="20"/>
          <w:rtl w:val="1"/>
        </w:rPr>
        <w:t>هر منبع داده، هدف استفاده، مدت نگهداری و گیرنده نتیجه جداگانه تأیید شود.</w:t>
      </w:r>
    </w:p>
    <w:p>
      <w:pPr>
        <w:spacing w:before="0" w:after="100" w:line="300" w:lineRule="auto"/>
        <w:jc w:val="right"/>
        <w:keepNext w:val="0"/>
        <w:widowControl/>
        <w:bidi w:val="1"/>
      </w:pPr>
      <w:r>
        <w:rPr>
          <w:rFonts w:ascii="Tahoma" w:hAnsi="Tahoma" w:cs="Tahoma"/>
          <w:b/>
          <w:i w:val="0"/>
          <w:color w:val="92251F"/>
          <w:sz w:val="20"/>
          <w:rtl w:val="1"/>
        </w:rPr>
        <w:t xml:space="preserve">حداقل‌گرایی داده: </w:t>
      </w:r>
      <w:r>
        <w:rPr>
          <w:rFonts w:ascii="Tahoma" w:hAnsi="Tahoma" w:cs="Tahoma"/>
          <w:b w:val="0"/>
          <w:i w:val="0"/>
          <w:color w:val="262433"/>
          <w:sz w:val="20"/>
          <w:rtl w:val="1"/>
        </w:rPr>
        <w:t>فقط داده لازم برای هدف مشخص دریافت شود؛ نه هر داده‌ای که از نظر فنی قابل جمع‌آوری است.</w:t>
      </w:r>
    </w:p>
    <w:p>
      <w:pPr>
        <w:spacing w:before="0" w:after="100" w:line="300" w:lineRule="auto"/>
        <w:jc w:val="right"/>
        <w:keepNext w:val="0"/>
        <w:widowControl/>
        <w:bidi w:val="1"/>
      </w:pPr>
      <w:r>
        <w:rPr>
          <w:rFonts w:ascii="Tahoma" w:hAnsi="Tahoma" w:cs="Tahoma"/>
          <w:b/>
          <w:i w:val="0"/>
          <w:color w:val="92251F"/>
          <w:sz w:val="20"/>
          <w:rtl w:val="1"/>
        </w:rPr>
        <w:t xml:space="preserve">اصل ادعا + شاهد: </w:t>
      </w:r>
      <w:r>
        <w:rPr>
          <w:rFonts w:ascii="Tahoma" w:hAnsi="Tahoma" w:cs="Tahoma"/>
          <w:b w:val="0"/>
          <w:i w:val="0"/>
          <w:color w:val="262433"/>
          <w:sz w:val="20"/>
          <w:rtl w:val="1"/>
        </w:rPr>
        <w:t>هر نتیجه باید منشأ، زمان، سطح اطمینان و محدودیت خود را نشان دهد.</w:t>
      </w:r>
    </w:p>
    <w:p>
      <w:pPr>
        <w:spacing w:before="0" w:after="100" w:line="300" w:lineRule="auto"/>
        <w:jc w:val="right"/>
        <w:keepNext w:val="0"/>
        <w:widowControl/>
        <w:bidi w:val="1"/>
      </w:pPr>
      <w:r>
        <w:rPr>
          <w:rFonts w:ascii="Tahoma" w:hAnsi="Tahoma" w:cs="Tahoma"/>
          <w:b/>
          <w:i w:val="0"/>
          <w:color w:val="92251F"/>
          <w:sz w:val="20"/>
          <w:rtl w:val="1"/>
        </w:rPr>
        <w:t xml:space="preserve">نظارت انسانی: </w:t>
      </w:r>
      <w:r>
        <w:rPr>
          <w:rFonts w:ascii="Tahoma" w:hAnsi="Tahoma" w:cs="Tahoma"/>
          <w:b w:val="0"/>
          <w:i w:val="0"/>
          <w:color w:val="262433"/>
          <w:sz w:val="20"/>
          <w:rtl w:val="1"/>
        </w:rPr>
        <w:t>موارد پراثر، تناقض‌ها و اعتراض‌ها به کارشناس مجاز ارجاع شود.</w:t>
      </w:r>
    </w:p>
    <w:p>
      <w:pPr>
        <w:spacing w:before="0" w:after="100" w:line="300" w:lineRule="auto"/>
        <w:jc w:val="right"/>
        <w:keepNext w:val="0"/>
        <w:widowControl/>
        <w:bidi w:val="1"/>
      </w:pPr>
      <w:r>
        <w:rPr>
          <w:rFonts w:ascii="Tahoma" w:hAnsi="Tahoma" w:cs="Tahoma"/>
          <w:b/>
          <w:i w:val="0"/>
          <w:color w:val="92251F"/>
          <w:sz w:val="20"/>
          <w:rtl w:val="1"/>
        </w:rPr>
        <w:t xml:space="preserve">عدم تبعیض: </w:t>
      </w:r>
      <w:r>
        <w:rPr>
          <w:rFonts w:ascii="Tahoma" w:hAnsi="Tahoma" w:cs="Tahoma"/>
          <w:b w:val="0"/>
          <w:i w:val="0"/>
          <w:color w:val="262433"/>
          <w:sz w:val="20"/>
          <w:rtl w:val="1"/>
        </w:rPr>
        <w:t>استنباط قومیت، مذهب، گرایش سیاسی، وضعیت سلامت یا سایر صفات حساس از رفتار آنلاین ممنوع باشد.</w:t>
      </w:r>
    </w:p>
    <w:p>
      <w:pPr>
        <w:spacing w:before="0" w:after="100" w:line="300" w:lineRule="auto"/>
        <w:jc w:val="right"/>
        <w:keepNext w:val="0"/>
        <w:widowControl/>
        <w:bidi w:val="1"/>
      </w:pPr>
      <w:r>
        <w:rPr>
          <w:rFonts w:ascii="Tahoma" w:hAnsi="Tahoma" w:cs="Tahoma"/>
          <w:b/>
          <w:i w:val="0"/>
          <w:color w:val="92251F"/>
          <w:sz w:val="20"/>
          <w:rtl w:val="1"/>
        </w:rPr>
        <w:t xml:space="preserve">حق توضیح، اصلاح و حذف: </w:t>
      </w:r>
      <w:r>
        <w:rPr>
          <w:rFonts w:ascii="Tahoma" w:hAnsi="Tahoma" w:cs="Tahoma"/>
          <w:b w:val="0"/>
          <w:i w:val="0"/>
          <w:color w:val="262433"/>
          <w:sz w:val="20"/>
          <w:rtl w:val="1"/>
        </w:rPr>
        <w:t>کاربر بتواند داده را ببیند، منبع را بشناسد، خطا را اصلاح و در حدود قانون حذف کند.</w:t>
      </w:r>
    </w:p>
    <w:p>
      <w:pPr>
        <w:pStyle w:val="Heading2"/>
        <w:spacing w:before="220" w:after="120"/>
        <w:jc w:val="right"/>
        <w:keepNext/>
        <w:bidi w:val="1"/>
      </w:pPr>
      <w:r>
        <w:rPr>
          <w:rFonts w:ascii="Tahoma" w:hAnsi="Tahoma" w:cs="Tahoma"/>
          <w:b/>
          <w:i w:val="0"/>
          <w:color w:val="92251F"/>
          <w:sz w:val="26"/>
          <w:rtl w:val="1"/>
        </w:rPr>
        <w:t>۲-۳. اهداف قابل سنجش</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پرونده رضایت‌محور و قابل ممیزی برای هر فرایند آشنایی.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راستی‌آزمایی حداقل سه گروه اطلاعات در پایلوت: هویت، تحصیل و اشتغال/گواهی‌های رسمی.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ارائه خلاصه‌ای حداکثر در چند صفحه با پیوند به اصل شواهد و پرهیز از افشای داده غیرضروری.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کاهش زمان بررسی مدارک و افزایش نرخ کشف تناقض‌های قابل اثبات در مقایسه با فرایند دستی.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ایجاد سازوکار اعتراض و اصلاح با زمان پاسخ مشخص.</w:t>
      </w:r>
    </w:p>
    <w:p>
      <w:r>
        <w:br w:type="page"/>
      </w:r>
    </w:p>
    <w:p>
      <w:pPr>
        <w:pStyle w:val="Heading1"/>
        <w:spacing w:before="320" w:after="180"/>
        <w:jc w:val="right"/>
        <w:keepNext/>
        <w:bidi w:val="1"/>
      </w:pPr>
      <w:r>
        <w:rPr>
          <w:rFonts w:ascii="Tahoma" w:hAnsi="Tahoma" w:cs="Tahoma"/>
          <w:b/>
          <w:i w:val="0"/>
          <w:color w:val="211A3D"/>
          <w:sz w:val="32"/>
          <w:rtl w:val="1"/>
        </w:rPr>
        <w:t>۳. ذی‌نفعان و تجربه کاربر</w:t>
      </w:r>
    </w:p>
    <w:p>
      <w:pPr>
        <w:pStyle w:val="Heading2"/>
        <w:spacing w:before="220" w:after="120"/>
        <w:jc w:val="right"/>
        <w:keepNext/>
        <w:bidi w:val="1"/>
      </w:pPr>
      <w:r>
        <w:rPr>
          <w:rFonts w:ascii="Tahoma" w:hAnsi="Tahoma" w:cs="Tahoma"/>
          <w:b/>
          <w:i w:val="0"/>
          <w:color w:val="92251F"/>
          <w:sz w:val="26"/>
          <w:rtl w:val="1"/>
        </w:rPr>
        <w:t>۳-۱. ذی‌نفعان</w:t>
      </w:r>
    </w:p>
    <w:tbl>
      <w:tblPr>
        <w:bidiVisual w:val="1"/>
        <w:tblW w:type="dxa" w:w="9438"/>
        <w:tblLayout w:type="fixed"/>
        <w:tblLook w:firstColumn="1" w:firstRow="1" w:lastColumn="0" w:lastRow="0" w:noHBand="0" w:noVBand="1" w:val="04A0"/>
        <w:jc w:val="center"/>
        <w:tblInd w:w="120" w:type="dxa"/>
      </w:tblPr>
      <w:tblGrid>
        <w:gridCol w:w="1870"/>
        <w:gridCol w:w="3458"/>
        <w:gridCol w:w="4110"/>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ذی‌نفع</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نیاز اصلی</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نقش در سامانه</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فرد متقاضی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آگاهی، کنترل و امنیت</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مالک رضایت و ارائه‌کننده مدارک خود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طرف مقابل</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تقارن اطلاعات و امکان پاسخ</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مشاهده محدود، تأیید متقابل و اعتراض</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مشاور خانواده</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اطلاعات ساختاریافته و زمینه‌دار</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تفسیر انسانی، ارجاع و ثبت یادداشت حرفه‌ای</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نهاد سفارش‌دهنده</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اثربخشی، پاسخ‌گویی و انطباق</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مالک محصول و سیاست‌های حاکمیت</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دستگاه‌های داده‌دار</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استفاده مجاز و کنترل‌شده</w:t>
            </w:r>
          </w:p>
        </w:tc>
        <w:tc>
          <w:tcPr>
            <w:tcW w:type="dxa" w:w="411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ارائه API/گواهی و ثبت رویداد</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نهاد ناظر</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شفافیت و امکان حسابرسی</w:t>
            </w:r>
          </w:p>
        </w:tc>
        <w:tc>
          <w:tcPr>
            <w:tcW w:type="dxa" w:w="411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بازرسی فرایند، مدل و رخدادهای امنیتی</w:t>
            </w:r>
          </w:p>
        </w:tc>
      </w:tr>
    </w:tbl>
    <w:p>
      <w:pPr>
        <w:spacing w:after="40"/>
      </w:pPr>
    </w:p>
    <w:p>
      <w:pPr>
        <w:pStyle w:val="Heading2"/>
        <w:spacing w:before="220" w:after="120"/>
        <w:jc w:val="right"/>
        <w:keepNext/>
        <w:bidi w:val="1"/>
      </w:pPr>
      <w:r>
        <w:rPr>
          <w:rFonts w:ascii="Tahoma" w:hAnsi="Tahoma" w:cs="Tahoma"/>
          <w:b/>
          <w:i w:val="0"/>
          <w:color w:val="92251F"/>
          <w:sz w:val="26"/>
          <w:rtl w:val="1"/>
        </w:rPr>
        <w:t>۳-۲. سفر نمونه کاربر</w:t>
      </w:r>
    </w:p>
    <w:p>
      <w:pPr>
        <w:pStyle w:val="ListNumber"/>
        <w:spacing w:after="80" w:line="293" w:lineRule="auto"/>
        <w:ind w:right="329" w:hanging="159"/>
        <w:jc w:val="right"/>
        <w:bidi w:val="1"/>
      </w:pPr>
      <w:r>
        <w:rPr>
          <w:rFonts w:ascii="Tahoma" w:hAnsi="Tahoma" w:cs="Tahoma"/>
          <w:b w:val="0"/>
          <w:i w:val="0"/>
          <w:color w:val="262433"/>
          <w:sz w:val="20"/>
          <w:rtl w:val="1"/>
        </w:rPr>
        <w:t>ثبت‌نام و احراز هویت قوی؛ معرفی هدف استفاده از سامانه با زبان ساده.</w:t>
      </w:r>
    </w:p>
    <w:p>
      <w:pPr>
        <w:pStyle w:val="ListNumber"/>
        <w:spacing w:after="80" w:line="293" w:lineRule="auto"/>
        <w:ind w:right="329" w:hanging="159"/>
        <w:jc w:val="right"/>
        <w:bidi w:val="1"/>
      </w:pPr>
      <w:r>
        <w:rPr>
          <w:rFonts w:ascii="Tahoma" w:hAnsi="Tahoma" w:cs="Tahoma"/>
          <w:b w:val="0"/>
          <w:i w:val="0"/>
          <w:color w:val="262433"/>
          <w:sz w:val="20"/>
          <w:rtl w:val="1"/>
        </w:rPr>
        <w:t>ایجاد «پرونده آشنایی» و دعوت طرف مقابل؛ پرونده تا پذیرش او فعال نمی‌شود.</w:t>
      </w:r>
    </w:p>
    <w:p>
      <w:pPr>
        <w:pStyle w:val="ListNumber"/>
        <w:spacing w:after="80" w:line="293" w:lineRule="auto"/>
        <w:ind w:right="329" w:hanging="159"/>
        <w:jc w:val="right"/>
        <w:bidi w:val="1"/>
      </w:pPr>
      <w:r>
        <w:rPr>
          <w:rFonts w:ascii="Tahoma" w:hAnsi="Tahoma" w:cs="Tahoma"/>
          <w:b w:val="0"/>
          <w:i w:val="0"/>
          <w:color w:val="262433"/>
          <w:sz w:val="20"/>
          <w:rtl w:val="1"/>
        </w:rPr>
        <w:t>انتخاب بسته‌های بررسی؛ برای هر بسته رضایت جداگانه و زمان‌دار ثبت می‌شود.</w:t>
      </w:r>
    </w:p>
    <w:p>
      <w:pPr>
        <w:pStyle w:val="ListNumber"/>
        <w:spacing w:after="80" w:line="293" w:lineRule="auto"/>
        <w:ind w:right="329" w:hanging="159"/>
        <w:jc w:val="right"/>
        <w:bidi w:val="1"/>
      </w:pPr>
      <w:r>
        <w:rPr>
          <w:rFonts w:ascii="Tahoma" w:hAnsi="Tahoma" w:cs="Tahoma"/>
          <w:b w:val="0"/>
          <w:i w:val="0"/>
          <w:color w:val="262433"/>
          <w:sz w:val="20"/>
          <w:rtl w:val="1"/>
        </w:rPr>
        <w:t>ارائه مدارک یا صدور توکن استعلام رسمی؛ نتیجه خام در خزانه امن و خلاصه حداقلی در پرونده ذخیره می‌شود.</w:t>
      </w:r>
    </w:p>
    <w:p>
      <w:pPr>
        <w:pStyle w:val="ListNumber"/>
        <w:spacing w:after="80" w:line="293" w:lineRule="auto"/>
        <w:ind w:right="329" w:hanging="159"/>
        <w:jc w:val="right"/>
        <w:bidi w:val="1"/>
      </w:pPr>
      <w:r>
        <w:rPr>
          <w:rFonts w:ascii="Tahoma" w:hAnsi="Tahoma" w:cs="Tahoma"/>
          <w:b w:val="0"/>
          <w:i w:val="0"/>
          <w:color w:val="262433"/>
          <w:sz w:val="20"/>
          <w:rtl w:val="1"/>
        </w:rPr>
        <w:t>هوش مصنوعی تناقض‌های قابل اثبات و پرسش‌های نیازمند گفت‌وگو را پیشنهاد می‌دهد؛ هیچ حکم قطعی صادر نمی‌کند.</w:t>
      </w:r>
    </w:p>
    <w:p>
      <w:pPr>
        <w:pStyle w:val="ListNumber"/>
        <w:spacing w:after="80" w:line="293" w:lineRule="auto"/>
        <w:ind w:right="329" w:hanging="159"/>
        <w:jc w:val="right"/>
        <w:bidi w:val="1"/>
      </w:pPr>
      <w:r>
        <w:rPr>
          <w:rFonts w:ascii="Tahoma" w:hAnsi="Tahoma" w:cs="Tahoma"/>
          <w:b w:val="0"/>
          <w:i w:val="0"/>
          <w:color w:val="262433"/>
          <w:sz w:val="20"/>
          <w:rtl w:val="1"/>
        </w:rPr>
        <w:t>مشاهده مشترک گزارش، پاسخ صاحب داده و در صورت لزوم جلسه با مشاور.</w:t>
      </w:r>
    </w:p>
    <w:p>
      <w:pPr>
        <w:pStyle w:val="ListNumber"/>
        <w:spacing w:after="80" w:line="293" w:lineRule="auto"/>
        <w:ind w:right="329" w:hanging="159"/>
        <w:jc w:val="right"/>
        <w:bidi w:val="1"/>
      </w:pPr>
      <w:r>
        <w:rPr>
          <w:rFonts w:ascii="Tahoma" w:hAnsi="Tahoma" w:cs="Tahoma"/>
          <w:b w:val="0"/>
          <w:i w:val="0"/>
          <w:color w:val="262433"/>
          <w:sz w:val="20"/>
          <w:rtl w:val="1"/>
        </w:rPr>
        <w:t>بستن پرونده، تعیین نگهداشت یا حذف؛ در صورت ازدواج، فعال‌سازی اختیاری خدمات پس از ازدواج.</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نقطه کنترل  </w:t>
            </w:r>
            <w:r>
              <w:rPr>
                <w:rFonts w:ascii="Tahoma" w:hAnsi="Tahoma" w:cs="Tahoma"/>
                <w:b w:val="0"/>
                <w:i w:val="0"/>
                <w:color w:val="262433"/>
                <w:sz w:val="20"/>
                <w:rtl w:val="1"/>
              </w:rPr>
              <w:t>هیچ کاربری صرفاً با وارد کردن نام و نام خانوادگی فرد دیگر نباید بتواند گزارش تولید کند. حداقل احراز هویت، تطبیق شناسه یکتا، دعوت معتبر و رضایت صاحب داده الزامی است.</w:t>
            </w:r>
          </w:p>
        </w:tc>
      </w:tr>
    </w:tbl>
    <w:p>
      <w:pPr>
        <w:spacing w:after="20"/>
      </w:pPr>
    </w:p>
    <w:p>
      <w:pPr>
        <w:pStyle w:val="Heading1"/>
        <w:spacing w:before="320" w:after="180"/>
        <w:jc w:val="right"/>
        <w:keepNext/>
        <w:bidi w:val="1"/>
      </w:pPr>
      <w:r>
        <w:rPr>
          <w:rFonts w:ascii="Tahoma" w:hAnsi="Tahoma" w:cs="Tahoma"/>
          <w:b/>
          <w:i w:val="0"/>
          <w:color w:val="211A3D"/>
          <w:sz w:val="32"/>
          <w:rtl w:val="1"/>
        </w:rPr>
        <w:t>۴. دامنه محصول و ماژول‌ها</w:t>
      </w:r>
    </w:p>
    <w:p>
      <w:pPr>
        <w:pStyle w:val="Heading2"/>
        <w:spacing w:before="220" w:after="120"/>
        <w:jc w:val="right"/>
        <w:keepNext/>
        <w:bidi w:val="1"/>
      </w:pPr>
      <w:r>
        <w:rPr>
          <w:rFonts w:ascii="Tahoma" w:hAnsi="Tahoma" w:cs="Tahoma"/>
          <w:b/>
          <w:i w:val="0"/>
          <w:color w:val="92251F"/>
          <w:sz w:val="26"/>
          <w:rtl w:val="1"/>
        </w:rPr>
        <w:t>۴-۱. هویت، رضایت و مدیریت پرونده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احراز هویت چندمرحله‌ای و تطبیق شماره همراه با صاحب شناسه.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رضایت‌نامه دانه‌ریز برای هر منبع، هدف، گیرنده و دوره زمانی.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داشبورد پرونده، ثبت تاریخچه دسترسی، امکان لغو رضایت و بستن پرونده.</w:t>
      </w:r>
    </w:p>
    <w:p>
      <w:pPr>
        <w:pStyle w:val="Heading2"/>
        <w:spacing w:before="220" w:after="120"/>
        <w:jc w:val="right"/>
        <w:keepNext/>
        <w:bidi w:val="1"/>
      </w:pPr>
      <w:r>
        <w:rPr>
          <w:rFonts w:ascii="Tahoma" w:hAnsi="Tahoma" w:cs="Tahoma"/>
          <w:b/>
          <w:i w:val="0"/>
          <w:color w:val="92251F"/>
          <w:sz w:val="26"/>
          <w:rtl w:val="1"/>
        </w:rPr>
        <w:t>۴-۲. راستی‌آزمایی قضاییِ محدود و مجاز</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پشتیبانی از بارگذاری گواهی عدم سوءپیشینه و کنترل اصالت آن از مسیر رسمی.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 صورت عقد تفاهم‌نامه، استعلام مبتنی بر توکن و نمایش نتیجه حداقلی مورد توافق.</w:t>
      </w:r>
    </w:p>
    <w:p>
      <w:pPr>
        <w:pStyle w:val="ListBullet"/>
        <w:spacing w:after="80" w:line="293" w:lineRule="auto"/>
        <w:ind w:left="0" w:right="312" w:hanging="142"/>
        <w:jc w:val="right"/>
        <w:widowControl/>
        <w:bidi w:val="1"/>
      </w:pPr>
      <w:r>
        <w:rPr>
          <w:rFonts w:ascii="Tahoma" w:hAnsi="Tahoma" w:cs="Tahoma"/>
          <w:b w:val="0"/>
          <w:i w:val="0"/>
          <w:color w:val="262433"/>
          <w:sz w:val="20"/>
          <w:rtl w:val="1"/>
        </w:rPr>
        <w:t>عدم ذخیره رمز ثنا، عدم ورود نیابتی به حساب فرد و عدم نمایش جزئیات پرونده‌های غیرمرتبط.</w:t>
      </w:r>
    </w:p>
    <w:p>
      <w:pPr>
        <w:pStyle w:val="Heading2"/>
        <w:spacing w:before="220" w:after="120"/>
        <w:jc w:val="right"/>
        <w:keepNext/>
        <w:bidi w:val="1"/>
      </w:pPr>
      <w:r>
        <w:rPr>
          <w:rFonts w:ascii="Tahoma" w:hAnsi="Tahoma" w:cs="Tahoma"/>
          <w:b/>
          <w:i w:val="0"/>
          <w:color w:val="92251F"/>
          <w:sz w:val="26"/>
          <w:rtl w:val="1"/>
        </w:rPr>
        <w:t>۴-۳. تحصیلات و گواهی‌های حرفه‌ای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ادعاهای تحصیلی به‌صورت ساختاریافته: دانشگاه، رشته، مقطع و بازه زمانی.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اعتبارسنجی با API رسمی، QR، امضای دیجیتال یا تأیید مؤسسه صادرکننده.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نمایش وضعیت «تأییدشده، تأییدنشده، نیازمند بررسی» به‌جای نتیجه‌گیری درباره توانایی فرد.</w:t>
      </w:r>
    </w:p>
    <w:p>
      <w:pPr>
        <w:pStyle w:val="Heading2"/>
        <w:spacing w:before="220" w:after="120"/>
        <w:jc w:val="right"/>
        <w:keepNext/>
        <w:bidi w:val="1"/>
      </w:pPr>
      <w:r>
        <w:rPr>
          <w:rFonts w:ascii="Tahoma" w:hAnsi="Tahoma" w:cs="Tahoma"/>
          <w:b/>
          <w:i w:val="0"/>
          <w:color w:val="92251F"/>
          <w:sz w:val="26"/>
          <w:rtl w:val="1"/>
        </w:rPr>
        <w:t>۴-۴. اشتغال و سابقه حرفه‌ای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گواهی اشتغال یا سابقه بیمه/کار با رضایت و دسترسی قانونی؛ تطبیق بازه زمانی و عنوان شغلی.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ارائه معرفی‌نامه داوطلبانه و تماس با مرجع معرفی‌شده در قالب گردش‌کار ثبت‌شده.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تفکیک «عدم امکان تأیید» از «نادرست بودن ادعا» برای جلوگیری از برچسب‌زنی ناعادلانه.</w:t>
      </w:r>
    </w:p>
    <w:p>
      <w:pPr>
        <w:pStyle w:val="Heading2"/>
        <w:spacing w:before="220" w:after="120"/>
        <w:jc w:val="right"/>
        <w:keepNext/>
        <w:bidi w:val="1"/>
      </w:pPr>
      <w:r>
        <w:rPr>
          <w:rFonts w:ascii="Tahoma" w:hAnsi="Tahoma" w:cs="Tahoma"/>
          <w:b/>
          <w:i w:val="0"/>
          <w:color w:val="92251F"/>
          <w:sz w:val="26"/>
          <w:rtl w:val="1"/>
        </w:rPr>
        <w:t>۴-۵. ردپای عمومی وب و شبکه‌های اجتماعی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دریافت شناسه حساب از خود فرد و تحلیل صرفاً محتوای عمومی در چارچوب شرایط پلتفرم.</w:t>
      </w:r>
    </w:p>
    <w:p>
      <w:pPr>
        <w:pStyle w:val="ListBullet"/>
        <w:spacing w:after="80" w:line="293" w:lineRule="auto"/>
        <w:ind w:left="0" w:right="312" w:hanging="142"/>
        <w:jc w:val="right"/>
        <w:widowControl/>
        <w:bidi w:val="1"/>
      </w:pPr>
      <w:r>
        <w:rPr>
          <w:rFonts w:ascii="Tahoma" w:hAnsi="Tahoma" w:cs="Tahoma"/>
          <w:b w:val="0"/>
          <w:i w:val="0"/>
          <w:color w:val="262433"/>
          <w:sz w:val="20"/>
          <w:rtl w:val="1"/>
        </w:rPr>
        <w:t>خلاصه موضوعات تکرارشونده، لحن عمومی و علایق خوداظهاری‌شده همراه با نمونه و تاریخ.</w:t>
      </w:r>
    </w:p>
    <w:p>
      <w:pPr>
        <w:pStyle w:val="ListBullet"/>
        <w:spacing w:after="80" w:line="293" w:lineRule="auto"/>
        <w:ind w:left="0" w:right="312" w:hanging="142"/>
        <w:jc w:val="right"/>
        <w:widowControl/>
        <w:bidi w:val="1"/>
      </w:pPr>
      <w:r>
        <w:rPr>
          <w:rFonts w:ascii="Tahoma" w:hAnsi="Tahoma" w:cs="Tahoma"/>
          <w:b w:val="0"/>
          <w:i w:val="0"/>
          <w:color w:val="262433"/>
          <w:sz w:val="20"/>
          <w:rtl w:val="1"/>
        </w:rPr>
        <w:t>ممنوعیت استنباط صفات حساس، دسترسی به پیام خصوصی، دورزدن محدودیت‌ها یا ساخت امتیاز عقیدتی.</w:t>
      </w:r>
    </w:p>
    <w:p>
      <w:pPr>
        <w:pStyle w:val="Heading2"/>
        <w:spacing w:before="220" w:after="120"/>
        <w:jc w:val="right"/>
        <w:keepNext/>
        <w:bidi w:val="1"/>
      </w:pPr>
      <w:r>
        <w:rPr>
          <w:rFonts w:ascii="Tahoma" w:hAnsi="Tahoma" w:cs="Tahoma"/>
          <w:b/>
          <w:i w:val="0"/>
          <w:color w:val="92251F"/>
          <w:sz w:val="26"/>
          <w:rtl w:val="1"/>
        </w:rPr>
        <w:t>۴-۶. گفت‌وگوی هدایت‌شده و مشاوره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پرسشنامه درباره ارزش‌ها، اهداف، مالی، خانواده، فرزندآوری، محل زندگی و سبک حل تعارض.</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تولید موضوعات پیشنهادی برای گفت‌وگو و ارجاع موارد حساس به مشاور دارای صلاحیت.</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رضایت جداگانه برای اشتراک پاسخ‌ها و جلوگیری از نمایش پاسخ‌های خصوصی بدون اجازه.</w:t>
      </w:r>
    </w:p>
    <w:p>
      <w:pPr>
        <w:pStyle w:val="Heading2"/>
        <w:spacing w:before="220" w:after="120"/>
        <w:jc w:val="right"/>
        <w:keepNext/>
        <w:bidi w:val="1"/>
      </w:pPr>
      <w:r>
        <w:rPr>
          <w:rFonts w:ascii="Tahoma" w:hAnsi="Tahoma" w:cs="Tahoma"/>
          <w:b/>
          <w:i w:val="0"/>
          <w:color w:val="92251F"/>
          <w:sz w:val="26"/>
          <w:rtl w:val="1"/>
        </w:rPr>
        <w:t>۴-۷. خدمات پس از ازدواج و توانمندسازی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ادامه پرونده فقط با رضایت تازه و هدف جدید؛ داده دوره آشنایی خودکار به دوره پس از ازدواج منتقل نشود.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مسیرهای مشاوره، آموزش مهارت‌های ارتباطی، سواد مالی و حل تعارض.</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پروفایل مهارتی جداگانه برای معرفی داوطلبانه به آموزش یا فرصت شغلی؛ بدون افشای داده‌های پرونده ازدواج.</w:t>
      </w:r>
    </w:p>
    <w:p>
      <w:r>
        <w:br w:type="page"/>
      </w:r>
    </w:p>
    <w:p>
      <w:pPr>
        <w:pStyle w:val="Heading1"/>
        <w:spacing w:before="320" w:after="180"/>
        <w:jc w:val="right"/>
        <w:keepNext/>
        <w:bidi w:val="1"/>
      </w:pPr>
      <w:r>
        <w:rPr>
          <w:rFonts w:ascii="Tahoma" w:hAnsi="Tahoma" w:cs="Tahoma"/>
          <w:b/>
          <w:i w:val="0"/>
          <w:color w:val="211A3D"/>
          <w:sz w:val="32"/>
          <w:rtl w:val="1"/>
        </w:rPr>
        <w:t>۵. ماتریس امکان‌پذیری قابلیت‌ها</w:t>
      </w:r>
    </w:p>
    <w:p>
      <w:pPr>
        <w:spacing w:before="0" w:after="160" w:line="317" w:lineRule="auto"/>
        <w:jc w:val="right"/>
        <w:keepNext w:val="0"/>
        <w:widowControl/>
        <w:bidi w:val="1"/>
      </w:pPr>
      <w:r>
        <w:rPr>
          <w:rFonts w:ascii="Tahoma" w:hAnsi="Tahoma" w:cs="Tahoma"/>
          <w:b w:val="0"/>
          <w:i w:val="0"/>
          <w:color w:val="262433"/>
          <w:sz w:val="21"/>
          <w:rtl w:val="1"/>
        </w:rPr>
        <w:t>امکان‌پذیری به چهار عامل وابسته است: مبنای قانونی، رضایت معتبر، وجود رابط رسمی و تناسب داده با هدف. جدول زیر وضعیت پیشنهادی برای شروع مذاکره با کارفرماست و باید در فاز صفر با مالکان داده نهایی شود.</w:t>
      </w:r>
    </w:p>
    <w:tbl>
      <w:tblPr>
        <w:bidiVisual w:val="1"/>
        <w:tblW w:type="dxa" w:w="9438"/>
        <w:tblLayout w:type="fixed"/>
        <w:tblLook w:firstColumn="1" w:firstRow="1" w:lastColumn="0" w:lastRow="0" w:noHBand="0" w:noVBand="1" w:val="04A0"/>
        <w:jc w:val="center"/>
        <w:tblInd w:w="120" w:type="dxa"/>
      </w:tblPr>
      <w:tblGrid>
        <w:gridCol w:w="2381"/>
        <w:gridCol w:w="1700"/>
        <w:gridCol w:w="3061"/>
        <w:gridCol w:w="2296"/>
      </w:tblGrid>
      <w:tr>
        <w:trPr>
          <w:tblHeader/>
        </w:trP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قابلیت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وضعیت</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پیش‌نیاز</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نسخه پیشنهادی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احراز هویت و رضایت</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ارائه‌دهنده احراز معتبر، طراحی حقوقی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عدم سوءپیشینه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با مشارکت فرد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 رسمی/QR؛ API در صورت تفاهم‌نامه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 محدود</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تاریخچه پرونده‌های ثنا</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فعلاً خارج از دامنه</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مجوز قانونی صریح و ضرورت اثبات‌شده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تأیید مدرک تحصیلی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مشروط</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API یا اعتبارسنجی صادرکننده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تأیید اشتغال</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مشروط</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گواهی/مرجع رسمی و رضایت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وب عمومی</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محدود</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حساب معرفی‌شده، شرایط پلتفرم، ممیزی مدل</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 آزمایشی</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تحلیل لایک/فالو خصوصی</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غیرقابل‌پذیرش</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فاقد مسیر عادی رضایت و دسترسی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اجرا</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پرسشنامه و مشاوره</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طراحی متخصص و کنترل بالینی/اخلاقی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MVP</w:t>
            </w:r>
          </w:p>
        </w:tc>
      </w:tr>
      <w:tr>
        <w:tc>
          <w:tcPr>
            <w:tcW w:type="dxa" w:w="23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تطبیق و توصیه</w:t>
            </w:r>
          </w:p>
        </w:tc>
        <w:tc>
          <w:tcPr>
            <w:tcW w:type="dxa" w:w="170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غیرقطعی</w:t>
            </w:r>
          </w:p>
        </w:tc>
        <w:tc>
          <w:tcPr>
            <w:tcW w:type="dxa" w:w="306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توضیح‌پذیری، عدم تبعیض، نظارت انسانی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نسخه ۲</w:t>
            </w:r>
          </w:p>
        </w:tc>
      </w:tr>
      <w:tr>
        <w:tc>
          <w:tcPr>
            <w:tcW w:type="dxa" w:w="23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معرفی شغلی پس از ازدواج</w:t>
            </w:r>
          </w:p>
        </w:tc>
        <w:tc>
          <w:tcPr>
            <w:tcW w:type="dxa" w:w="170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اجرا جداگانه</w:t>
            </w:r>
          </w:p>
        </w:tc>
        <w:tc>
          <w:tcPr>
            <w:tcW w:type="dxa" w:w="306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تازه، تفکیک پایگاه داده و شرکای شغلی</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نسخه ۳</w:t>
            </w:r>
          </w:p>
        </w:tc>
      </w:tr>
    </w:tbl>
    <w:p>
      <w:pPr>
        <w:spacing w:after="40"/>
      </w:pP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تفسیر وضعیت  </w:t>
            </w:r>
            <w:r>
              <w:rPr>
                <w:rFonts w:ascii="Tahoma" w:hAnsi="Tahoma" w:cs="Tahoma"/>
                <w:b w:val="0"/>
                <w:i w:val="0"/>
                <w:color w:val="262433"/>
                <w:sz w:val="20"/>
                <w:rtl w:val="1"/>
              </w:rPr>
              <w:t>«مشروط» به معنای دشوار اما ممکن است؛ تا پیش از امضای تفاهم‌نامه و آزمون API نباید در زمان‌بندی یا قیمت ثابت تعهد داده شود. «عدم اجرا» نیز یک کنترل محصول است، نه صرفاً محدودیت فنی.</w:t>
            </w:r>
          </w:p>
        </w:tc>
      </w:tr>
    </w:tbl>
    <w:p>
      <w:pPr>
        <w:spacing w:after="20"/>
      </w:pPr>
    </w:p>
    <w:p>
      <w:pPr>
        <w:pStyle w:val="Heading1"/>
        <w:spacing w:before="320" w:after="180"/>
        <w:jc w:val="right"/>
        <w:keepNext/>
        <w:bidi w:val="1"/>
      </w:pPr>
      <w:r>
        <w:rPr>
          <w:rFonts w:ascii="Tahoma" w:hAnsi="Tahoma" w:cs="Tahoma"/>
          <w:b/>
          <w:i w:val="0"/>
          <w:color w:val="211A3D"/>
          <w:sz w:val="32"/>
          <w:rtl w:val="1"/>
        </w:rPr>
        <w:t>۶. معماری فنی و هوش مصنوعی</w:t>
      </w:r>
    </w:p>
    <w:p>
      <w:pPr>
        <w:jc w:val="center"/>
      </w:pPr>
      <w:r>
        <w:drawing>
          <wp:inline xmlns:a="http://schemas.openxmlformats.org/drawingml/2006/main" xmlns:pic="http://schemas.openxmlformats.org/drawingml/2006/picture">
            <wp:extent cx="5940000" cy="3465000"/>
            <wp:docPr id="3" name="Picture 3" descr="نمودار پنج‌لایه معماری مفهومی سامانه همراه انتخاب" title="نمودار پنج‌لایه معماری مفهومی سامانه همراه انتخاب"/>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0000" cy="3465000"/>
                    </a:xfrm>
                    <a:prstGeom prst="rect"/>
                  </pic:spPr>
                </pic:pic>
              </a:graphicData>
            </a:graphic>
          </wp:inline>
        </w:drawing>
      </w:r>
    </w:p>
    <w:p>
      <w:pPr>
        <w:spacing w:before="0" w:after="160" w:line="317" w:lineRule="auto"/>
        <w:jc w:val="center"/>
        <w:keepNext w:val="0"/>
        <w:widowControl/>
        <w:bidi w:val="1"/>
      </w:pPr>
      <w:r>
        <w:rPr>
          <w:rFonts w:ascii="Tahoma" w:hAnsi="Tahoma" w:cs="Tahoma"/>
          <w:b w:val="0"/>
          <w:i w:val="0"/>
          <w:color w:val="66636F"/>
          <w:sz w:val="17"/>
          <w:rtl w:val="1"/>
        </w:rPr>
        <w:t>شکل ۱ - معماری مفهومی پیشنهادی (جزئیات پس از فاز صفر و شناخت زیرساخت کارفرما نهایی می‌شود).</w:t>
      </w:r>
    </w:p>
    <w:p>
      <w:pPr>
        <w:pStyle w:val="Heading2"/>
        <w:spacing w:before="220" w:after="120"/>
        <w:jc w:val="right"/>
        <w:keepNext/>
        <w:bidi w:val="1"/>
      </w:pPr>
      <w:r>
        <w:rPr>
          <w:rFonts w:ascii="Tahoma" w:hAnsi="Tahoma" w:cs="Tahoma"/>
          <w:b/>
          <w:i w:val="0"/>
          <w:color w:val="92251F"/>
          <w:sz w:val="26"/>
          <w:rtl w:val="1"/>
        </w:rPr>
        <w:t>۶-۱. مؤلفه‌های کلیدی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درگاه کاربر و مشاور: وب واکنش‌گرا، اعلان، مشاهده مجوزها و دسترسی به گزارش.</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مدیریت هویت و رضایت: احراز قوی، توکن یک‌بارمصرف، ثبت نسخه متن رضایت و زمان لغو.</w:t>
      </w:r>
    </w:p>
    <w:p>
      <w:pPr>
        <w:pStyle w:val="ListBullet"/>
        <w:spacing w:after="80" w:line="293" w:lineRule="auto"/>
        <w:ind w:left="0" w:right="312" w:hanging="142"/>
        <w:jc w:val="right"/>
        <w:widowControl/>
        <w:bidi w:val="1"/>
      </w:pPr>
      <w:r>
        <w:rPr>
          <w:rFonts w:ascii="Tahoma" w:hAnsi="Tahoma" w:cs="Tahoma"/>
          <w:b w:val="0"/>
          <w:i w:val="0"/>
          <w:color w:val="262433"/>
          <w:sz w:val="20"/>
          <w:rtl w:val="1"/>
        </w:rPr>
        <w:t>لایه تعامل‌پذیری: اتصال جداگانه و قابل قطع به هر دستگاه، محدودسازی نرخ و ثبت پاسخ خام امضاشده.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خزانه امن: تفکیک اطلاعات هویتی از محتوای پرونده، رمزنگاری و سیاست نگهداشت بر حسب نوع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خدمات هوش مصنوعی: OCR و استخراج، تطبیق ادعا و مدرک، خلاصه‌سازی مستند، پیشنهاد سؤال و کشف تناقض.</w:t>
      </w:r>
    </w:p>
    <w:p>
      <w:pPr>
        <w:pStyle w:val="ListBullet"/>
        <w:spacing w:after="80" w:line="293" w:lineRule="auto"/>
        <w:ind w:left="0" w:right="312" w:hanging="142"/>
        <w:jc w:val="right"/>
        <w:widowControl/>
        <w:bidi w:val="1"/>
      </w:pPr>
      <w:r>
        <w:rPr>
          <w:rFonts w:ascii="Tahoma" w:hAnsi="Tahoma" w:cs="Tahoma"/>
          <w:b w:val="0"/>
          <w:i w:val="0"/>
          <w:color w:val="262433"/>
          <w:sz w:val="20"/>
          <w:rtl w:val="1"/>
        </w:rPr>
        <w:t>پنل حاکمیت: ممیزی دسترسی، مدیریت اعتراض، پایش سوگیری، کنترل نسخه مدل و گزارش رخداد.</w:t>
      </w:r>
    </w:p>
    <w:p>
      <w:r>
        <w:br w:type="page"/>
      </w:r>
    </w:p>
    <w:p>
      <w:pPr>
        <w:pStyle w:val="Heading2"/>
        <w:spacing w:before="220" w:after="120"/>
        <w:jc w:val="right"/>
        <w:keepNext/>
        <w:bidi w:val="1"/>
      </w:pPr>
      <w:r>
        <w:rPr>
          <w:rFonts w:ascii="Tahoma" w:hAnsi="Tahoma" w:cs="Tahoma"/>
          <w:b/>
          <w:i w:val="0"/>
          <w:color w:val="92251F"/>
          <w:sz w:val="26"/>
          <w:rtl w:val="1"/>
        </w:rPr>
        <w:t>۶-۲. الگوی استفاده از هوش مصنوعی</w:t>
      </w:r>
    </w:p>
    <w:tbl>
      <w:tblPr>
        <w:bidiVisual w:val="1"/>
        <w:tblW w:type="dxa" w:w="9438"/>
        <w:tblLayout w:type="fixed"/>
        <w:tblLook w:firstColumn="1" w:firstRow="1" w:lastColumn="0" w:lastRow="0" w:noHBand="0" w:noVBand="1" w:val="04A0"/>
        <w:jc w:val="center"/>
        <w:tblInd w:w="120" w:type="dxa"/>
      </w:tblPr>
      <w:tblGrid>
        <w:gridCol w:w="2267"/>
        <w:gridCol w:w="3458"/>
        <w:gridCol w:w="3713"/>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کارکرد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خروجی</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الزامی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استخراج سند</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فیلدهای ساختاریافته و ناحیه شاهد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نمایش تصویر منبع و تأیید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کشف تناقض</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اختلاف تاریخ/عنوان/مرجع</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تبدیل تناقض به اتهام؛ ارجاع برای توضیح</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خلاصه وب عمومی</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موضوعات و نمونه‌های مستند</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فقط محتوای عمومی، ذکر تاریخ و امکان اعتراض</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پیشنهاد گفت‌وگو</w:t>
            </w:r>
          </w:p>
        </w:tc>
        <w:tc>
          <w:tcPr>
            <w:tcW w:type="dxa" w:w="3458"/>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سؤال‌های اولویت‌دار</w:t>
            </w:r>
          </w:p>
        </w:tc>
        <w:tc>
          <w:tcPr>
            <w:tcW w:type="dxa" w:w="371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عدم تشخیص اختلال یا صدور حکم شخصیتی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توصیه خدمت</w:t>
            </w:r>
          </w:p>
        </w:tc>
        <w:tc>
          <w:tcPr>
            <w:tcW w:type="dxa" w:w="345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مشاور/آموزش/فرصت مناسب</w:t>
            </w:r>
          </w:p>
        </w:tc>
        <w:tc>
          <w:tcPr>
            <w:tcW w:type="dxa" w:w="371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قابل توضیح، قابل رد و مستقل از داده حساس</w:t>
            </w:r>
          </w:p>
        </w:tc>
      </w:tr>
    </w:tbl>
    <w:p>
      <w:pPr>
        <w:spacing w:after="40"/>
      </w:pPr>
    </w:p>
    <w:p>
      <w:pPr>
        <w:pStyle w:val="Heading2"/>
        <w:spacing w:before="220" w:after="120"/>
        <w:jc w:val="right"/>
        <w:keepNext/>
        <w:bidi w:val="1"/>
      </w:pPr>
      <w:r>
        <w:rPr>
          <w:rFonts w:ascii="Tahoma" w:hAnsi="Tahoma" w:cs="Tahoma"/>
          <w:b/>
          <w:i w:val="0"/>
          <w:color w:val="92251F"/>
          <w:sz w:val="26"/>
          <w:rtl w:val="1"/>
        </w:rPr>
        <w:t>۶-۳. اصل «مدل تصمیم‌یار، نه تصمیم‌گیر»</w:t>
      </w:r>
    </w:p>
    <w:p>
      <w:pPr>
        <w:spacing w:before="0" w:after="160" w:line="317" w:lineRule="auto"/>
        <w:jc w:val="right"/>
        <w:keepNext w:val="0"/>
        <w:widowControl/>
        <w:bidi w:val="1"/>
      </w:pPr>
      <w:r>
        <w:rPr>
          <w:rFonts w:ascii="Tahoma" w:hAnsi="Tahoma" w:cs="Tahoma"/>
          <w:b w:val="0"/>
          <w:i w:val="0"/>
          <w:color w:val="262433"/>
          <w:sz w:val="21"/>
          <w:rtl w:val="1"/>
        </w:rPr>
        <w:t>مدل مجاز است شواهد را مرتب کند، اختلاف‌ها را نشان دهد و موضوعات قابل گفت‌وگو را پیشنهاد کند؛ اما مجاز نیست نتیجه «این فرد مناسب/نامناسب است» صادر کند. گزارش نهایی باید زبان احتمالی، سطح اطمینان، منشأ داده و مسیر اعتراض داشته باشد.</w:t>
      </w:r>
    </w:p>
    <w:p>
      <w:pPr>
        <w:pStyle w:val="Heading1"/>
        <w:spacing w:before="320" w:after="180"/>
        <w:jc w:val="right"/>
        <w:keepNext/>
        <w:bidi w:val="1"/>
      </w:pPr>
      <w:r>
        <w:rPr>
          <w:rFonts w:ascii="Tahoma" w:hAnsi="Tahoma" w:cs="Tahoma"/>
          <w:b/>
          <w:i w:val="0"/>
          <w:color w:val="211A3D"/>
          <w:sz w:val="32"/>
          <w:rtl w:val="1"/>
        </w:rPr>
        <w:t>۷. حاکمیت داده، حریم خصوصی و الزامات حقوقی</w:t>
      </w:r>
    </w:p>
    <w:p>
      <w:pPr>
        <w:pStyle w:val="Heading2"/>
        <w:spacing w:before="220" w:after="120"/>
        <w:jc w:val="right"/>
        <w:keepNext/>
        <w:bidi w:val="1"/>
      </w:pPr>
      <w:r>
        <w:rPr>
          <w:rFonts w:ascii="Tahoma" w:hAnsi="Tahoma" w:cs="Tahoma"/>
          <w:b/>
          <w:i w:val="0"/>
          <w:color w:val="92251F"/>
          <w:sz w:val="26"/>
          <w:rtl w:val="1"/>
        </w:rPr>
        <w:t>۷-۱. مبنای حقوقی و قراردادی</w:t>
      </w:r>
    </w:p>
    <w:p>
      <w:pPr>
        <w:spacing w:before="0" w:after="160" w:line="317" w:lineRule="auto"/>
        <w:jc w:val="right"/>
        <w:keepNext w:val="0"/>
        <w:widowControl/>
        <w:bidi w:val="1"/>
      </w:pPr>
      <w:r>
        <w:rPr>
          <w:rFonts w:ascii="Tahoma" w:hAnsi="Tahoma" w:cs="Tahoma"/>
          <w:b w:val="0"/>
          <w:i w:val="0"/>
          <w:color w:val="262433"/>
          <w:sz w:val="21"/>
          <w:rtl w:val="1"/>
        </w:rPr>
        <w:t>قوانین و مقررات ایران، اطلاعات شخصی و حریم خصوصی را از اطلاعات عمومی تفکیک می‌کنند. قانون مدیریت داده‌ها و اطلاعات ملی نیز تعامل‌پذیری دستگاه‌ها را در چارچوب تکالیف و سازوکارهای رسمی دنبال می‌کند. بنابراین، نام پروژه یا رضایت کلی کاربر به‌تنهایی مجوز دسترسی به هر پایگاه داده نیست؛ برای هر اتصال باید مالک داده، مبنای پردازش، سطح پاسخ، نقش طرفین و مسئولیت رخداد روشن شود.</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92251F"/>
              <w:start w:val="single" w:sz="10" w:color="92251F"/>
              <w:bottom w:val="single" w:sz="10" w:color="92251F"/>
              <w:end w:val="single" w:sz="10" w:color="92251F"/>
              <w:insideH w:val="single" w:sz="10" w:color="92251F"/>
              <w:insideV w:val="single" w:sz="10" w:color="92251F"/>
            </w:tcBorders>
            <w:vAlign w:val="center"/>
            <w:shd w:fill="F8ECEB"/>
          </w:tcPr>
          <w:p>
            <w:pPr>
              <w:spacing w:after="0" w:line="300" w:lineRule="auto"/>
              <w:jc w:val="right"/>
              <w:bidi w:val="1"/>
            </w:pPr>
            <w:r>
              <w:rPr>
                <w:rFonts w:ascii="Tahoma" w:hAnsi="Tahoma" w:cs="Tahoma"/>
                <w:b/>
                <w:i w:val="0"/>
                <w:color w:val="92251F"/>
                <w:sz w:val="21"/>
                <w:rtl w:val="1"/>
              </w:rPr>
              <w:t xml:space="preserve">هشدار حقوقی  </w:t>
            </w:r>
            <w:r>
              <w:rPr>
                <w:rFonts w:ascii="Tahoma" w:hAnsi="Tahoma" w:cs="Tahoma"/>
                <w:b w:val="0"/>
                <w:i w:val="0"/>
                <w:color w:val="262433"/>
                <w:sz w:val="20"/>
                <w:rtl w:val="1"/>
              </w:rPr>
              <w:t>این بخش تحلیل اولیه برای طراحی محصول است و جایگزین نظر رسمی اداره حقوقی کارفرما، مالک پایگاه داده یا مرجع قضایی نیست. پیش از پایلوت واقعی، ارزیابی اثرات حریم خصوصی و تأیید کتبی دسترسی‌ها الزامی است.</w:t>
            </w:r>
          </w:p>
        </w:tc>
      </w:tr>
    </w:tbl>
    <w:p>
      <w:pPr>
        <w:spacing w:after="20"/>
      </w:pPr>
    </w:p>
    <w:p>
      <w:pPr>
        <w:pStyle w:val="Heading2"/>
        <w:spacing w:before="220" w:after="120"/>
        <w:jc w:val="right"/>
        <w:keepNext/>
        <w:bidi w:val="1"/>
      </w:pPr>
      <w:r>
        <w:rPr>
          <w:rFonts w:ascii="Tahoma" w:hAnsi="Tahoma" w:cs="Tahoma"/>
          <w:b/>
          <w:i w:val="0"/>
          <w:color w:val="92251F"/>
          <w:sz w:val="26"/>
          <w:rtl w:val="1"/>
        </w:rPr>
        <w:t>۷-۲. سیاست پیشنهادی چرخه عمر داده</w:t>
      </w:r>
    </w:p>
    <w:tbl>
      <w:tblPr>
        <w:bidiVisual w:val="1"/>
        <w:tblW w:type="dxa" w:w="9437"/>
        <w:tblLayout w:type="fixed"/>
        <w:tblLook w:firstColumn="1" w:firstRow="1" w:lastColumn="0" w:lastRow="0" w:noHBand="0" w:noVBand="1" w:val="04A0"/>
        <w:jc w:val="center"/>
        <w:tblInd w:w="120" w:type="dxa"/>
      </w:tblPr>
      <w:tblGrid>
        <w:gridCol w:w="1870"/>
        <w:gridCol w:w="4081"/>
        <w:gridCol w:w="3486"/>
      </w:tblGrid>
      <w:tr>
        <w:trPr>
          <w:tblHeader/>
        </w:trP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مرحله</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قاعده پیشنهادی</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8"/>
                <w:rtl w:val="1"/>
              </w:rPr>
              <w:t>شاهد ممیزی</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جمع‌آوری</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هدف مشخص، داده حداقلی، رضایت دانه‌ریز</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نسخه رضایت و شناسه منبع</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استفاده</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فقط برای پرونده و گیرنده تعیین‌شده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لاگ دسترسی و هدف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اشتراک</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خلاصه حداقلی؛ نه داده خام مگر ضرورت</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رسید اشتراک و دامنه فیلدها</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نگهداشت</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دوره کوتاه پیش‌فرض و تمدید با انتخاب کاربر</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برچسب انقضا و سیاست حذف</w:t>
            </w:r>
          </w:p>
        </w:tc>
      </w:tr>
      <w:tr>
        <w:tc>
          <w:tcPr>
            <w:tcW w:type="dxa" w:w="18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اعتراض</w:t>
            </w:r>
          </w:p>
        </w:tc>
        <w:tc>
          <w:tcPr>
            <w:tcW w:type="dxa" w:w="408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توقف اثر نتیجه تا بررسی موارد پراثر</w:t>
            </w:r>
          </w:p>
        </w:tc>
        <w:tc>
          <w:tcPr>
            <w:tcW w:type="dxa" w:w="348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تیکت، پاسخ و نسخه اصلاح‌شده</w:t>
            </w:r>
          </w:p>
        </w:tc>
      </w:tr>
      <w:tr>
        <w:tc>
          <w:tcPr>
            <w:tcW w:type="dxa" w:w="18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حذف/آرشیو</w:t>
            </w:r>
          </w:p>
        </w:tc>
        <w:tc>
          <w:tcPr>
            <w:tcW w:type="dxa" w:w="408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حذف امن یا نگهداشت قانونی تفکیک‌شده</w:t>
            </w:r>
          </w:p>
        </w:tc>
        <w:tc>
          <w:tcPr>
            <w:tcW w:type="dxa" w:w="348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8"/>
                <w:rtl w:val="1"/>
              </w:rPr>
              <w:t>گواهی عملیات و استثنای قانونی</w:t>
            </w:r>
          </w:p>
        </w:tc>
      </w:tr>
    </w:tbl>
    <w:p>
      <w:pPr>
        <w:spacing w:after="40"/>
      </w:pPr>
    </w:p>
    <w:p>
      <w:pPr>
        <w:pStyle w:val="Heading2"/>
        <w:spacing w:before="220" w:after="120"/>
        <w:jc w:val="right"/>
        <w:keepNext/>
        <w:bidi w:val="1"/>
      </w:pPr>
      <w:r>
        <w:rPr>
          <w:rFonts w:ascii="Tahoma" w:hAnsi="Tahoma" w:cs="Tahoma"/>
          <w:b/>
          <w:i w:val="0"/>
          <w:color w:val="92251F"/>
          <w:sz w:val="26"/>
          <w:rtl w:val="1"/>
        </w:rPr>
        <w:t>۷-۳. طبقه‌بندی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بسیار حساس: داده قضایی، سلامت، مشاوره، شناسه‌های هویتی و پاسخ‌های خصوصی.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حساس: تحصیل، اشتغال، درآمد خوداظهاری‌شده و نتایج راستی‌آزمایی.</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محدود: محتوای عمومی وب که برای پرونده پردازش شده و می‌تواند پروفایل ایجاد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عمومی/عملیاتی: محتوای راهنما، فهرست خدمات و داده‌های ناشناس آماری.</w:t>
      </w:r>
    </w:p>
    <w:p>
      <w:pPr>
        <w:pStyle w:val="Heading2"/>
        <w:spacing w:before="220" w:after="120"/>
        <w:jc w:val="right"/>
        <w:keepNext/>
        <w:bidi w:val="1"/>
      </w:pPr>
      <w:r>
        <w:rPr>
          <w:rFonts w:ascii="Tahoma" w:hAnsi="Tahoma" w:cs="Tahoma"/>
          <w:b/>
          <w:i w:val="0"/>
          <w:color w:val="92251F"/>
          <w:sz w:val="26"/>
          <w:rtl w:val="1"/>
        </w:rPr>
        <w:t>۷-۴. ممنوعیت‌های صریح</w:t>
      </w:r>
    </w:p>
    <w:p>
      <w:pPr>
        <w:pStyle w:val="ListBullet"/>
        <w:spacing w:after="80" w:line="293" w:lineRule="auto"/>
        <w:ind w:left="0" w:right="312" w:hanging="142"/>
        <w:jc w:val="right"/>
        <w:widowControl/>
        <w:bidi w:val="1"/>
      </w:pPr>
      <w:r>
        <w:rPr>
          <w:rFonts w:ascii="Tahoma" w:hAnsi="Tahoma" w:cs="Tahoma"/>
          <w:b w:val="0"/>
          <w:i w:val="0"/>
          <w:color w:val="92251F"/>
          <w:sz w:val="20"/>
          <w:rtl w:val="1"/>
        </w:rPr>
        <w:t>خرید یا دریافت بانک اطلاعاتی غیررسمی، جمع‌آوری پنهانی داده از حساب خصوصی، دورزدن محدودیت فنی شبکه اجتماعی یا استفاده از رمز/نشست کاربری اشخاص.</w:t>
      </w:r>
    </w:p>
    <w:p>
      <w:pPr>
        <w:pStyle w:val="ListBullet"/>
        <w:spacing w:after="80" w:line="293" w:lineRule="auto"/>
        <w:ind w:left="0" w:right="312" w:hanging="142"/>
        <w:jc w:val="right"/>
        <w:widowControl/>
        <w:bidi w:val="1"/>
      </w:pPr>
      <w:r>
        <w:rPr>
          <w:rFonts w:ascii="Tahoma" w:hAnsi="Tahoma" w:cs="Tahoma"/>
          <w:b w:val="0"/>
          <w:i w:val="0"/>
          <w:color w:val="92251F"/>
          <w:sz w:val="20"/>
          <w:rtl w:val="1"/>
        </w:rPr>
        <w:t>استنباط یا امتیازدهی مذهب، قومیت، گرایش سیاسی، سلامت، گرایش جنسی یا سایر صفات حساس.</w:t>
      </w:r>
    </w:p>
    <w:p>
      <w:pPr>
        <w:pStyle w:val="ListBullet"/>
        <w:spacing w:after="80" w:line="293" w:lineRule="auto"/>
        <w:ind w:left="0" w:right="312" w:hanging="142"/>
        <w:jc w:val="right"/>
        <w:widowControl/>
        <w:bidi w:val="1"/>
      </w:pPr>
      <w:r>
        <w:rPr>
          <w:rFonts w:ascii="Tahoma" w:hAnsi="Tahoma" w:cs="Tahoma"/>
          <w:b w:val="0"/>
          <w:i w:val="0"/>
          <w:color w:val="92251F"/>
          <w:sz w:val="20"/>
          <w:rtl w:val="1"/>
        </w:rPr>
        <w:t>استفاده ثانویه از داده پرونده ازدواج برای استخدام، تبلیغات، اعتبارسنجی مالی یا تنبیه اداری.</w:t>
      </w:r>
    </w:p>
    <w:p>
      <w:pPr>
        <w:pStyle w:val="ListBullet"/>
        <w:spacing w:after="80" w:line="293" w:lineRule="auto"/>
        <w:ind w:left="0" w:right="312" w:hanging="142"/>
        <w:jc w:val="right"/>
        <w:widowControl/>
        <w:bidi w:val="1"/>
      </w:pPr>
      <w:r>
        <w:rPr>
          <w:rFonts w:ascii="Tahoma" w:hAnsi="Tahoma" w:cs="Tahoma"/>
          <w:b w:val="0"/>
          <w:i w:val="0"/>
          <w:color w:val="92251F"/>
          <w:sz w:val="20"/>
          <w:rtl w:val="1"/>
        </w:rPr>
        <w:t>تصمیم کاملاً خودکار با اثر مهم بر فرد، بدون توضیح، اعتراض و مداخله انسانی.</w:t>
      </w:r>
    </w:p>
    <w:p>
      <w:pPr>
        <w:pStyle w:val="Heading1"/>
        <w:spacing w:before="320" w:after="180"/>
        <w:jc w:val="right"/>
        <w:keepNext/>
        <w:bidi w:val="1"/>
      </w:pPr>
      <w:r>
        <w:rPr>
          <w:rFonts w:ascii="Tahoma" w:hAnsi="Tahoma" w:cs="Tahoma"/>
          <w:b/>
          <w:i w:val="0"/>
          <w:color w:val="211A3D"/>
          <w:sz w:val="32"/>
          <w:rtl w:val="1"/>
        </w:rPr>
        <w:t>۸. امنیت و تاب‌آوری</w:t>
      </w:r>
    </w:p>
    <w:p>
      <w:pPr>
        <w:spacing w:before="0" w:after="160" w:line="317" w:lineRule="auto"/>
        <w:jc w:val="right"/>
        <w:keepNext w:val="0"/>
        <w:widowControl/>
        <w:bidi w:val="1"/>
      </w:pPr>
      <w:r>
        <w:rPr>
          <w:rFonts w:ascii="Tahoma" w:hAnsi="Tahoma" w:cs="Tahoma"/>
          <w:b w:val="0"/>
          <w:i w:val="0"/>
          <w:color w:val="262433"/>
          <w:sz w:val="21"/>
          <w:rtl w:val="1"/>
        </w:rPr>
        <w:t>ماهیت داده‌ها ایجاب می‌کند امنیت از آغاز معماری شود، نه در پایان پروژه. چارچوب کنترل باید محرمانگی، صحت و دسترس‌پذیری را پوشش دهد و برای زنجیره شواهد، ثبت منشأ و تمامیت داده نیز سازوکار مشخص داشته باشد.</w:t>
      </w:r>
    </w:p>
    <w:p>
      <w:pPr>
        <w:pStyle w:val="Heading2"/>
        <w:spacing w:before="220" w:after="120"/>
        <w:jc w:val="right"/>
        <w:keepNext/>
        <w:bidi w:val="1"/>
      </w:pPr>
      <w:r>
        <w:rPr>
          <w:rFonts w:ascii="Tahoma" w:hAnsi="Tahoma" w:cs="Tahoma"/>
          <w:b/>
          <w:i w:val="0"/>
          <w:color w:val="92251F"/>
          <w:sz w:val="26"/>
          <w:rtl w:val="1"/>
        </w:rPr>
        <w:t>۸-۱. کنترل‌های پایه</w:t>
      </w:r>
    </w:p>
    <w:p>
      <w:pPr>
        <w:pStyle w:val="ListBullet"/>
        <w:spacing w:after="80" w:line="293" w:lineRule="auto"/>
        <w:ind w:left="0" w:right="312" w:hanging="142"/>
        <w:jc w:val="right"/>
        <w:widowControl/>
        <w:bidi w:val="1"/>
      </w:pPr>
      <w:r>
        <w:rPr>
          <w:rFonts w:ascii="Tahoma" w:hAnsi="Tahoma" w:cs="Tahoma"/>
          <w:b w:val="0"/>
          <w:i w:val="0"/>
          <w:color w:val="262433"/>
          <w:sz w:val="20"/>
          <w:rtl w:val="1"/>
        </w:rPr>
        <w:t>رمزنگاری داده در انتقال و در حالت سکون؛ مدیریت کلید مستقل و چرخش دوره‌ای.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کنترل دسترسی مبتنی بر نقش و ویژگی، اصل کمترین دسترسی و تأیید دومرحله‌ای برای نقش‌های حساس.</w:t>
      </w:r>
    </w:p>
    <w:p>
      <w:pPr>
        <w:pStyle w:val="ListBullet"/>
        <w:spacing w:after="80" w:line="293" w:lineRule="auto"/>
        <w:ind w:left="0" w:right="312" w:hanging="142"/>
        <w:jc w:val="right"/>
        <w:widowControl/>
        <w:bidi w:val="1"/>
      </w:pPr>
      <w:r>
        <w:rPr>
          <w:rFonts w:ascii="Tahoma" w:hAnsi="Tahoma" w:cs="Tahoma"/>
          <w:b w:val="0"/>
          <w:i w:val="0"/>
          <w:color w:val="262433"/>
          <w:sz w:val="20"/>
          <w:rtl w:val="1"/>
        </w:rPr>
        <w:t>تفکیک محیط توسعه، آزمون و تولید؛ ممنوعیت استفاده از داده واقعی در توسعه مگر با ناشناس‌سازی مصوب.</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 غیرقابل‌انکار دسترسی‌ها، پایش رفتار غیرعادی و هشدار بر مشاهده انبوه یا نامتناسب.</w:t>
      </w:r>
    </w:p>
    <w:p>
      <w:pPr>
        <w:pStyle w:val="ListBullet"/>
        <w:spacing w:after="80" w:line="293" w:lineRule="auto"/>
        <w:ind w:left="0" w:right="312" w:hanging="142"/>
        <w:jc w:val="right"/>
        <w:widowControl/>
        <w:bidi w:val="1"/>
      </w:pPr>
      <w:r>
        <w:rPr>
          <w:rFonts w:ascii="Tahoma" w:hAnsi="Tahoma" w:cs="Tahoma"/>
          <w:b w:val="0"/>
          <w:i w:val="0"/>
          <w:color w:val="262433"/>
          <w:sz w:val="20"/>
          <w:rtl w:val="1"/>
        </w:rPr>
        <w:t>آزمون نفوذ، تحلیل کد، مدیریت آسیب‌پذیری زنجیره تأمین و برنامه پاسخ به رخداد.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پشتیبان‌گیری رمزنگاری‌شده، سناریوی بازیابی و آزمون دوره‌ای تداوم خدمت.</w:t>
      </w:r>
    </w:p>
    <w:p>
      <w:pPr>
        <w:pStyle w:val="ListBullet"/>
        <w:spacing w:after="80" w:line="293" w:lineRule="auto"/>
        <w:ind w:left="0" w:right="312" w:hanging="142"/>
        <w:jc w:val="right"/>
        <w:widowControl/>
        <w:bidi w:val="1"/>
      </w:pPr>
      <w:r>
        <w:rPr>
          <w:rFonts w:ascii="Tahoma" w:hAnsi="Tahoma" w:cs="Tahoma"/>
          <w:b w:val="0"/>
          <w:i w:val="0"/>
          <w:color w:val="262433"/>
          <w:sz w:val="20"/>
          <w:rtl w:val="1"/>
        </w:rPr>
        <w:t>دروازه امنیتی برای ورودی مدل، جلوگیری از نشت داده در پرامپت و ارزیابی حملات تزریق دستور.</w:t>
      </w:r>
    </w:p>
    <w:p>
      <w:pPr>
        <w:pStyle w:val="Heading2"/>
        <w:spacing w:before="220" w:after="120"/>
        <w:jc w:val="right"/>
        <w:keepNext/>
        <w:bidi w:val="1"/>
      </w:pPr>
      <w:r>
        <w:rPr>
          <w:rFonts w:ascii="Tahoma" w:hAnsi="Tahoma" w:cs="Tahoma"/>
          <w:b/>
          <w:i w:val="0"/>
          <w:color w:val="92251F"/>
          <w:sz w:val="26"/>
          <w:rtl w:val="1"/>
        </w:rPr>
        <w:t>۸-۲. کنترل‌های اختصاصی هوش مصنوعی</w:t>
      </w:r>
    </w:p>
    <w:tbl>
      <w:tblPr>
        <w:bidiVisual w:val="1"/>
        <w:tblW w:type="dxa" w:w="9438"/>
        <w:tblLayout w:type="fixed"/>
        <w:tblLook w:firstColumn="1" w:firstRow="1" w:lastColumn="0" w:lastRow="0" w:noHBand="0" w:noVBand="1" w:val="04A0"/>
        <w:jc w:val="center"/>
        <w:tblInd w:w="120" w:type="dxa"/>
      </w:tblPr>
      <w:tblGrid>
        <w:gridCol w:w="2324"/>
        <w:gridCol w:w="3543"/>
        <w:gridCol w:w="3571"/>
      </w:tblGrid>
      <w:tr>
        <w:trPr>
          <w:tblHeader/>
        </w:trP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ریسک</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پیشگیرانه</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کنترل کشف/پاسخ</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توهم یا انتساب نادرست</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تولید مبتنی بر منبع و قالب محدود</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نمونه‌برداری کیفی و توقف نمایش نتیجه کم‌اطمینان</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سوگیری</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حذف ویژگی‌های حساس و سناریوهای آزمون</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پایش اختلاف نرخ خطا و بازبینی مستقل</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نشت داده</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مدل خصوصی/قرارداد پردازش، کمینه‌سازی ورودی</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پایش خروجی و رخداد محرمانگی</w:t>
            </w:r>
          </w:p>
        </w:tc>
      </w:tr>
      <w:tr>
        <w:tc>
          <w:tcPr>
            <w:tcW w:type="dxa" w:w="232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تزریق دستور</w:t>
            </w:r>
          </w:p>
        </w:tc>
        <w:tc>
          <w:tcPr>
            <w:tcW w:type="dxa" w:w="3543"/>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جداسازی محتوا از دستور و فیلتر منبع</w:t>
            </w:r>
          </w:p>
        </w:tc>
        <w:tc>
          <w:tcPr>
            <w:tcW w:type="dxa" w:w="357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ثبت حمله، قرنطینه سند و اصلاح قاعده</w:t>
            </w:r>
          </w:p>
        </w:tc>
      </w:tr>
      <w:tr>
        <w:tc>
          <w:tcPr>
            <w:tcW w:type="dxa" w:w="232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تغییر رفتار مدل</w:t>
            </w:r>
          </w:p>
        </w:tc>
        <w:tc>
          <w:tcPr>
            <w:tcW w:type="dxa" w:w="3543"/>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قفل نسخه و ارزیابی قبل از انتشار</w:t>
            </w:r>
          </w:p>
        </w:tc>
        <w:tc>
          <w:tcPr>
            <w:tcW w:type="dxa" w:w="357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بازگشت نسخه و گزارش تغییر</w:t>
            </w:r>
          </w:p>
        </w:tc>
      </w:tr>
    </w:tbl>
    <w:p>
      <w:pPr>
        <w:spacing w:after="40"/>
      </w:pPr>
    </w:p>
    <w:p>
      <w:r>
        <w:br w:type="page"/>
      </w:r>
    </w:p>
    <w:p>
      <w:pPr>
        <w:pStyle w:val="Heading1"/>
        <w:spacing w:before="320" w:after="180"/>
        <w:jc w:val="right"/>
        <w:keepNext/>
        <w:bidi w:val="1"/>
      </w:pPr>
      <w:r>
        <w:rPr>
          <w:rFonts w:ascii="Tahoma" w:hAnsi="Tahoma" w:cs="Tahoma"/>
          <w:b/>
          <w:i w:val="0"/>
          <w:color w:val="211A3D"/>
          <w:sz w:val="32"/>
          <w:rtl w:val="1"/>
        </w:rPr>
        <w:t>۹. نقشه راه اجرا</w:t>
      </w:r>
    </w:p>
    <w:p>
      <w:pPr>
        <w:pStyle w:val="Heading2"/>
        <w:spacing w:before="220" w:after="120"/>
        <w:jc w:val="right"/>
        <w:keepNext/>
        <w:bidi w:val="1"/>
      </w:pPr>
      <w:r>
        <w:rPr>
          <w:rFonts w:ascii="Tahoma" w:hAnsi="Tahoma" w:cs="Tahoma"/>
          <w:b/>
          <w:i w:val="0"/>
          <w:color w:val="92251F"/>
          <w:sz w:val="26"/>
          <w:rtl w:val="1"/>
        </w:rPr>
        <w:t>۹-۱. فازها و دروازه‌های تصمیم</w:t>
      </w:r>
    </w:p>
    <w:tbl>
      <w:tblPr>
        <w:bidiVisual w:val="1"/>
        <w:tblW w:type="dxa" w:w="9438"/>
        <w:tblLayout w:type="fixed"/>
        <w:tblLook w:firstColumn="1" w:firstRow="1" w:lastColumn="0" w:lastRow="0" w:noHBand="0" w:noVBand="1" w:val="04A0"/>
        <w:jc w:val="center"/>
        <w:tblInd w:w="120" w:type="dxa"/>
      </w:tblPr>
      <w:tblGrid>
        <w:gridCol w:w="1814"/>
        <w:gridCol w:w="1587"/>
        <w:gridCol w:w="3741"/>
        <w:gridCol w:w="2296"/>
      </w:tblGrid>
      <w:tr>
        <w:trPr>
          <w:tblHeader/>
        </w:trP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فاز</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مدت برآوردی</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خروجی کلیدی</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دروازه تصمیم</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صفر: امکان‌سنجی</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۶ تا ۸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نقشه داده، نظر حقوقی، توافق اولیه API، طراحی خدمت</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Go/No-Go برای هر اتصال</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۱: MVP کم‌ریسک</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۱۲ تا ۱۶ هفته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هویت، رضایت، پرونده، بارگذاری/اعتبارسنجی سند، پرسشنامه</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پذیرش امنیت و تجربه کاربر</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۲: پایلوت کنترل‌شده</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 تا ۱۲ هفته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پایلوت محدود، پنل مشاور، اعتراض، پایش مدل</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اثربخشی و عدم آسیب</w:t>
            </w:r>
          </w:p>
        </w:tc>
      </w:tr>
      <w:tr>
        <w:tc>
          <w:tcPr>
            <w:tcW w:type="dxa" w:w="1814"/>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۳: اتصال‌های رسمی</w:t>
            </w:r>
          </w:p>
        </w:tc>
        <w:tc>
          <w:tcPr>
            <w:tcW w:type="dxa" w:w="158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۴ تا ۹ ماه</w:t>
            </w:r>
          </w:p>
        </w:tc>
        <w:tc>
          <w:tcPr>
            <w:tcW w:type="dxa" w:w="374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اتصال مرحله‌ای تحصیل/اشتغال/قضاییِ مجاز</w:t>
            </w:r>
          </w:p>
        </w:tc>
        <w:tc>
          <w:tcPr>
            <w:tcW w:type="dxa" w:w="229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توافق سطح خدمت هر دستگاه</w:t>
            </w:r>
          </w:p>
        </w:tc>
      </w:tr>
      <w:tr>
        <w:tc>
          <w:tcPr>
            <w:tcW w:type="dxa" w:w="1814"/>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فاز ۴: خدمات پس از ازدواج</w:t>
            </w:r>
          </w:p>
        </w:tc>
        <w:tc>
          <w:tcPr>
            <w:tcW w:type="dxa" w:w="158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۳ تا ۵ ماه</w:t>
            </w:r>
          </w:p>
        </w:tc>
        <w:tc>
          <w:tcPr>
            <w:tcW w:type="dxa" w:w="374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مشاوره، آموزش و مسیر شغلی جداگانه</w:t>
            </w:r>
          </w:p>
        </w:tc>
        <w:tc>
          <w:tcPr>
            <w:tcW w:type="dxa" w:w="229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تازه و جداسازی داده</w:t>
            </w:r>
          </w:p>
        </w:tc>
      </w:tr>
    </w:tbl>
    <w:p>
      <w:pPr>
        <w:spacing w:after="40"/>
      </w:pPr>
    </w:p>
    <w:p>
      <w:pPr>
        <w:pStyle w:val="Heading2"/>
        <w:spacing w:before="220" w:after="120"/>
        <w:jc w:val="right"/>
        <w:keepNext/>
        <w:bidi w:val="1"/>
      </w:pPr>
      <w:r>
        <w:rPr>
          <w:rFonts w:ascii="Tahoma" w:hAnsi="Tahoma" w:cs="Tahoma"/>
          <w:b/>
          <w:i w:val="0"/>
          <w:color w:val="92251F"/>
          <w:sz w:val="26"/>
          <w:rtl w:val="1"/>
        </w:rPr>
        <w:t>۹-۲. محدوده پیشنهادی MVP</w:t>
      </w:r>
    </w:p>
    <w:p>
      <w:pPr>
        <w:pStyle w:val="ListBullet"/>
        <w:spacing w:after="80" w:line="293" w:lineRule="auto"/>
        <w:ind w:left="0" w:right="312" w:hanging="142"/>
        <w:jc w:val="right"/>
        <w:widowControl/>
        <w:bidi w:val="1"/>
      </w:pPr>
      <w:r>
        <w:rPr>
          <w:rFonts w:ascii="Tahoma" w:hAnsi="Tahoma" w:cs="Tahoma"/>
          <w:b w:val="0"/>
          <w:i w:val="0"/>
          <w:color w:val="262433"/>
          <w:sz w:val="20"/>
          <w:rtl w:val="1"/>
        </w:rPr>
        <w:t>ثبت‌نام، احراز هویت، دعوت طرف مقابل و مدیریت رضایت.</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پرونده ادعاها و مدارک با کنترل اصالت پایه و ثبت منشأ.</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پشتیبانی از گواهی عدم سوءپیشینه‌ای که خود فرد از مسیر رسمی ارائه می‌کند.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راستی‌آزمایی تحصیل/اشتغال از طریق مدارک و مراجع منتخب پایلوت.</w:t>
      </w:r>
    </w:p>
    <w:p>
      <w:pPr>
        <w:pStyle w:val="ListBullet"/>
        <w:spacing w:after="80" w:line="293" w:lineRule="auto"/>
        <w:ind w:left="0" w:right="312" w:hanging="142"/>
        <w:jc w:val="right"/>
        <w:widowControl/>
        <w:bidi w:val="1"/>
      </w:pPr>
      <w:r>
        <w:rPr>
          <w:rFonts w:ascii="Tahoma" w:hAnsi="Tahoma" w:cs="Tahoma"/>
          <w:b w:val="0"/>
          <w:i w:val="0"/>
          <w:color w:val="262433"/>
          <w:sz w:val="20"/>
          <w:rtl w:val="1"/>
        </w:rPr>
        <w:t>پرسشنامه گفت‌وگوی پیش از ازدواج، خلاصه مستند و پنل مشاور.</w:t>
      </w:r>
    </w:p>
    <w:p>
      <w:pPr>
        <w:pStyle w:val="ListBullet"/>
        <w:spacing w:after="80" w:line="293" w:lineRule="auto"/>
        <w:ind w:left="0" w:right="312" w:hanging="142"/>
        <w:jc w:val="right"/>
        <w:widowControl/>
        <w:bidi w:val="1"/>
      </w:pPr>
      <w:r>
        <w:rPr>
          <w:rFonts w:ascii="Tahoma" w:hAnsi="Tahoma" w:cs="Tahoma"/>
          <w:b w:val="0"/>
          <w:i w:val="0"/>
          <w:color w:val="262433"/>
          <w:sz w:val="20"/>
          <w:rtl w:val="1"/>
        </w:rPr>
        <w:t>اعتراض، اصلاح، حذف، لاگ ممیزی و داشبورد شاخص‌های ناشناس.</w:t>
      </w:r>
    </w:p>
    <w:p>
      <w:pPr>
        <w:pStyle w:val="Heading2"/>
        <w:spacing w:before="220" w:after="120"/>
        <w:jc w:val="right"/>
        <w:keepNext/>
        <w:bidi w:val="1"/>
      </w:pPr>
      <w:r>
        <w:rPr>
          <w:rFonts w:ascii="Tahoma" w:hAnsi="Tahoma" w:cs="Tahoma"/>
          <w:b/>
          <w:i w:val="0"/>
          <w:color w:val="92251F"/>
          <w:sz w:val="26"/>
          <w:rtl w:val="1"/>
        </w:rPr>
        <w:t>۹-۳. برنامه پایلوت</w:t>
      </w:r>
    </w:p>
    <w:p>
      <w:pPr>
        <w:spacing w:before="0" w:after="160" w:line="317" w:lineRule="auto"/>
        <w:jc w:val="right"/>
        <w:keepNext w:val="0"/>
        <w:widowControl/>
        <w:bidi w:val="1"/>
      </w:pPr>
      <w:r>
        <w:rPr>
          <w:rFonts w:ascii="Tahoma" w:hAnsi="Tahoma" w:cs="Tahoma"/>
          <w:b w:val="0"/>
          <w:i w:val="0"/>
          <w:color w:val="262433"/>
          <w:sz w:val="21"/>
          <w:rtl w:val="1"/>
        </w:rPr>
        <w:t>پایلوت باید با جامعه محدود، داوطلب و دارای پشتیبانی مشاور اجرا شود. پیش از ورود، رضایت آگاهانه و معیار خروج روشن ارائه می‌شود. هیچ قابلیت آزمایشی بدون برچسب، هیچ تصمیم خودکار و هیچ اتصال تولیدیِ تأییدنشده در پایلوت فعال نمی‌شود. ارزیابی شامل دقت راستی‌آزمایی، تجربه کاربر، زمان پاسخ به اعتراض، رخدادهای حریم خصوصی و آثار ناخواسته است.</w:t>
      </w:r>
    </w:p>
    <w:p>
      <w:r>
        <w:br w:type="page"/>
      </w:r>
    </w:p>
    <w:p>
      <w:pPr>
        <w:pStyle w:val="Heading1"/>
        <w:spacing w:before="320" w:after="180"/>
        <w:jc w:val="right"/>
        <w:keepNext/>
        <w:bidi w:val="1"/>
      </w:pPr>
      <w:r>
        <w:rPr>
          <w:rFonts w:ascii="Tahoma" w:hAnsi="Tahoma" w:cs="Tahoma"/>
          <w:b/>
          <w:i w:val="0"/>
          <w:color w:val="211A3D"/>
          <w:sz w:val="32"/>
          <w:rtl w:val="1"/>
        </w:rPr>
        <w:t>۱۰. تیم، اقلام تحویلی و مدل هزینه</w:t>
      </w:r>
    </w:p>
    <w:p>
      <w:pPr>
        <w:pStyle w:val="Heading2"/>
        <w:spacing w:before="220" w:after="120"/>
        <w:jc w:val="right"/>
        <w:keepNext/>
        <w:bidi w:val="1"/>
      </w:pPr>
      <w:r>
        <w:rPr>
          <w:rFonts w:ascii="Tahoma" w:hAnsi="Tahoma" w:cs="Tahoma"/>
          <w:b/>
          <w:i w:val="0"/>
          <w:color w:val="92251F"/>
          <w:sz w:val="26"/>
          <w:rtl w:val="1"/>
        </w:rPr>
        <w:t>۱۰-۱. تیم حداقلی پیشنهادی</w:t>
      </w:r>
    </w:p>
    <w:tbl>
      <w:tblPr>
        <w:bidiVisual w:val="1"/>
        <w:tblW w:type="dxa" w:w="9438"/>
        <w:tblLayout w:type="fixed"/>
        <w:tblLook w:firstColumn="1" w:firstRow="1" w:lastColumn="0" w:lastRow="0" w:noHBand="0" w:noVBand="1" w:val="04A0"/>
        <w:jc w:val="center"/>
        <w:tblInd w:w="120" w:type="dxa"/>
      </w:tblPr>
      <w:tblGrid>
        <w:gridCol w:w="2267"/>
        <w:gridCol w:w="4762"/>
        <w:gridCol w:w="240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نقش</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مسئولیت اصلی</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مشارکت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مدیر محصول/پروژه</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دامنه، ذی‌نفعان، برنامه و پذیرش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معمار راهکار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معماری، تعامل‌پذیری و تصمیمات فنی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 در طراحی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متخصص حقوق و حریم خصوصی</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مبنای پردازش، رضایت، قرارداد و ارزیابی اثر</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متخصص خانواده/روان‌شناسی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پرسشنامه، مرز توصیه و ارجاع</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توسعه‌دهندگان بک‌اند/فرانت‌اند</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محصول، API و پنل‌ها</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مهندس داده و هوش مصنوعی</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استخراج، تطبیق، RAG و ارزیابی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امنیت و DevSecOps</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کنترل امنیتی، زیرساخت و پایش</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مستمر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طراح UX و پژوهشگر</w:t>
            </w:r>
          </w:p>
        </w:tc>
        <w:tc>
          <w:tcPr>
            <w:tcW w:type="dxa" w:w="4762"/>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سفر، زبان رضایت و آزمون کاربردپذیری</w:t>
            </w:r>
          </w:p>
        </w:tc>
        <w:tc>
          <w:tcPr>
            <w:tcW w:type="dxa" w:w="240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پاره‌وقت/موجی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QA و ارزیابی مدل</w:t>
            </w:r>
          </w:p>
        </w:tc>
        <w:tc>
          <w:tcPr>
            <w:tcW w:type="dxa" w:w="4762"/>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آزمون کارکرد، داده، سوگیری و رگرسیون</w:t>
            </w:r>
          </w:p>
        </w:tc>
        <w:tc>
          <w:tcPr>
            <w:tcW w:type="dxa" w:w="240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تمام‌وقت در تحویل</w:t>
            </w:r>
          </w:p>
        </w:tc>
      </w:tr>
    </w:tbl>
    <w:p>
      <w:pPr>
        <w:spacing w:after="40"/>
      </w:pPr>
    </w:p>
    <w:p>
      <w:pPr>
        <w:pStyle w:val="Heading2"/>
        <w:spacing w:before="220" w:after="120"/>
        <w:jc w:val="right"/>
        <w:keepNext/>
        <w:bidi w:val="1"/>
      </w:pPr>
      <w:r>
        <w:rPr>
          <w:rFonts w:ascii="Tahoma" w:hAnsi="Tahoma" w:cs="Tahoma"/>
          <w:b/>
          <w:i w:val="0"/>
          <w:color w:val="92251F"/>
          <w:sz w:val="26"/>
          <w:rtl w:val="1"/>
        </w:rPr>
        <w:t>۱۰-۲. اقلام تحویلی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سند نیازمندی‌ها، نقشه سفر و مدل عملیاتی خدمت.</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امکان‌سنجی حقوقی و تعامل‌پذیری برای هر پایگاه داده.</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معماری مرجع، مدل داده، طبقه‌بندی اطلاعات و مدل تهدید.</w:t>
      </w:r>
    </w:p>
    <w:p>
      <w:pPr>
        <w:pStyle w:val="ListBullet"/>
        <w:spacing w:after="80" w:line="293" w:lineRule="auto"/>
        <w:ind w:left="0" w:right="312" w:hanging="142"/>
        <w:jc w:val="right"/>
        <w:widowControl/>
        <w:bidi w:val="1"/>
      </w:pPr>
      <w:r>
        <w:rPr>
          <w:rFonts w:ascii="Tahoma" w:hAnsi="Tahoma" w:cs="Tahoma"/>
          <w:b w:val="0"/>
          <w:i w:val="0"/>
          <w:color w:val="262433"/>
          <w:sz w:val="20"/>
          <w:rtl w:val="1"/>
        </w:rPr>
        <w:t>MVP وب/موبایل، پنل مشاور و پنل حاکمیت با مستندات استقرار.</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مدل/خدمات هوش مصنوعی به‌همراه کارت مدل، مجموعه آزمون و گزارش ارزیابی.</w:t>
      </w:r>
    </w:p>
    <w:p>
      <w:pPr>
        <w:pStyle w:val="ListBullet"/>
        <w:spacing w:after="80" w:line="293" w:lineRule="auto"/>
        <w:ind w:left="0" w:right="312" w:hanging="142"/>
        <w:jc w:val="right"/>
        <w:widowControl/>
        <w:bidi w:val="1"/>
      </w:pPr>
      <w:r>
        <w:rPr>
          <w:rFonts w:ascii="Tahoma" w:hAnsi="Tahoma" w:cs="Tahoma"/>
          <w:b w:val="0"/>
          <w:i w:val="0"/>
          <w:color w:val="262433"/>
          <w:sz w:val="20"/>
          <w:rtl w:val="1"/>
        </w:rPr>
        <w:t>سیاست‌های رضایت، نگهداشت، اعتراض، رخداد امنیتی و بهره‌برداری.</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پایلوت، درس‌آموخته‌ها و برنامه مقیاس‌پذیری.</w:t>
      </w:r>
    </w:p>
    <w:p>
      <w:pPr>
        <w:pStyle w:val="Heading2"/>
        <w:spacing w:before="220" w:after="120"/>
        <w:jc w:val="right"/>
        <w:keepNext/>
        <w:bidi w:val="1"/>
      </w:pPr>
      <w:r>
        <w:rPr>
          <w:rFonts w:ascii="Tahoma" w:hAnsi="Tahoma" w:cs="Tahoma"/>
          <w:b/>
          <w:i w:val="0"/>
          <w:color w:val="92251F"/>
          <w:sz w:val="26"/>
          <w:rtl w:val="1"/>
        </w:rPr>
        <w:t>۱۰-۳. مدل برآورد هزینه</w:t>
      </w:r>
    </w:p>
    <w:p>
      <w:pPr>
        <w:spacing w:before="0" w:after="160" w:line="317" w:lineRule="auto"/>
        <w:jc w:val="right"/>
        <w:keepNext w:val="0"/>
        <w:widowControl/>
        <w:bidi w:val="1"/>
      </w:pPr>
      <w:r>
        <w:rPr>
          <w:rFonts w:ascii="Tahoma" w:hAnsi="Tahoma" w:cs="Tahoma"/>
          <w:b w:val="0"/>
          <w:i w:val="0"/>
          <w:color w:val="262433"/>
          <w:sz w:val="21"/>
          <w:rtl w:val="1"/>
        </w:rPr>
        <w:t>به دلیل نامشخص‌بودن دسترسی‌های بین‌دستگاهی، ارائه رقم قطعی در این مرحله پرریسک است. پیشنهاد می‌شود فاز صفر با قیمت ثابت و فازهای بعدی پس از تثبیت دامنه، بر مبنای بسته کاری و سطح خدمت قیمت‌گذاری شوند.</w:t>
      </w:r>
    </w:p>
    <w:p>
      <w:r>
        <w:br w:type="page"/>
      </w:r>
    </w:p>
    <w:tbl>
      <w:tblPr>
        <w:bidiVisual w:val="1"/>
        <w:tblW w:type="dxa" w:w="9438"/>
        <w:tblLayout w:type="fixed"/>
        <w:tblLook w:firstColumn="1" w:firstRow="1" w:lastColumn="0" w:lastRow="0" w:noHBand="0" w:noVBand="1" w:val="04A0"/>
        <w:jc w:val="center"/>
        <w:tblInd w:w="120" w:type="dxa"/>
      </w:tblPr>
      <w:tblGrid>
        <w:gridCol w:w="3401"/>
        <w:gridCol w:w="2267"/>
        <w:gridCol w:w="3770"/>
      </w:tblGrid>
      <w:tr>
        <w:trPr>
          <w:tblHeader/>
        </w:trP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بسته هزینه</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سهم راهنمای بودجه ساخت</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محرک اصلی تغییر</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کشف، حقوقی و طراحی خدمت</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تعداد دستگاه‌ها و پیچیدگی مجوز</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تجربه کاربر و محصول</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تعداد نقش‌ها و کانال‌ها</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هسته پلتفرم و پنل‌ها</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۳۰٪</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حجم گردش‌کار و الزامات مقیاس</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هوش مصنوعی و ارزیابی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۲۰٪</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زبان/سند، سطح دقت و مدل میزبانی</w:t>
            </w:r>
          </w:p>
        </w:tc>
      </w:tr>
      <w:tr>
        <w:tc>
          <w:tcPr>
            <w:tcW w:type="dxa" w:w="3401"/>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امنیت، حریم خصوصی و DevSecOps</w:t>
            </w:r>
          </w:p>
        </w:tc>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۱۵٪</w:t>
            </w:r>
          </w:p>
        </w:tc>
        <w:tc>
          <w:tcPr>
            <w:tcW w:type="dxa" w:w="3770"/>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طبقه‌بندی داده و سطح گواهی</w:t>
            </w:r>
          </w:p>
        </w:tc>
      </w:tr>
      <w:tr>
        <w:tc>
          <w:tcPr>
            <w:tcW w:type="dxa" w:w="3401"/>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اتصال‌ها و آزمون تعامل‌پذیری</w:t>
            </w:r>
          </w:p>
        </w:tc>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۱۵٪</w:t>
            </w:r>
          </w:p>
        </w:tc>
        <w:tc>
          <w:tcPr>
            <w:tcW w:type="dxa" w:w="3770"/>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کیفیت API و محیط آزمون دستگاه‌ها</w:t>
            </w:r>
          </w:p>
        </w:tc>
      </w:tr>
    </w:tbl>
    <w:p>
      <w:pPr>
        <w:spacing w:after="40"/>
      </w:pPr>
    </w:p>
    <w:p>
      <w:pPr>
        <w:spacing w:before="0" w:after="160" w:line="317" w:lineRule="auto"/>
        <w:jc w:val="right"/>
        <w:keepNext w:val="0"/>
        <w:widowControl/>
        <w:bidi w:val="1"/>
      </w:pPr>
      <w:r>
        <w:rPr>
          <w:rFonts w:ascii="Tahoma" w:hAnsi="Tahoma" w:cs="Tahoma"/>
          <w:b w:val="0"/>
          <w:i/>
          <w:color w:val="66636F"/>
          <w:sz w:val="18"/>
          <w:rtl w:val="1"/>
        </w:rPr>
        <w:t>هزینه‌های زیرساخت تولید، پیامک/احراز، مجوز استانداردها، ممیزی مستقل، مرکز تماس و نگهداری سالانه باید جداگانه برآورد شود.</w:t>
      </w:r>
    </w:p>
    <w:p>
      <w:pPr>
        <w:pStyle w:val="Heading1"/>
        <w:spacing w:before="320" w:after="180"/>
        <w:jc w:val="right"/>
        <w:keepNext/>
        <w:bidi w:val="1"/>
      </w:pPr>
      <w:r>
        <w:rPr>
          <w:rFonts w:ascii="Tahoma" w:hAnsi="Tahoma" w:cs="Tahoma"/>
          <w:b/>
          <w:i w:val="0"/>
          <w:color w:val="211A3D"/>
          <w:sz w:val="32"/>
          <w:rtl w:val="1"/>
        </w:rPr>
        <w:t>۱۱. شاخص‌های موفقیت و معیار پذیرش</w:t>
      </w:r>
    </w:p>
    <w:p>
      <w:pPr>
        <w:pStyle w:val="Heading2"/>
        <w:spacing w:before="220" w:after="120"/>
        <w:jc w:val="right"/>
        <w:keepNext/>
        <w:bidi w:val="1"/>
      </w:pPr>
      <w:r>
        <w:rPr>
          <w:rFonts w:ascii="Tahoma" w:hAnsi="Tahoma" w:cs="Tahoma"/>
          <w:b/>
          <w:i w:val="0"/>
          <w:color w:val="92251F"/>
          <w:sz w:val="26"/>
          <w:rtl w:val="1"/>
        </w:rPr>
        <w:t>۱۱-۱. شاخص‌های محصول و خدمت</w:t>
      </w:r>
    </w:p>
    <w:tbl>
      <w:tblPr>
        <w:bidiVisual w:val="1"/>
        <w:tblW w:type="dxa" w:w="9438"/>
        <w:tblLayout w:type="fixed"/>
        <w:tblLook w:firstColumn="1" w:firstRow="1" w:lastColumn="0" w:lastRow="0" w:noHBand="0" w:noVBand="1" w:val="04A0"/>
        <w:jc w:val="center"/>
        <w:tblInd w:w="120" w:type="dxa"/>
      </w:tblPr>
      <w:tblGrid>
        <w:gridCol w:w="2267"/>
        <w:gridCol w:w="4535"/>
        <w:gridCol w:w="2636"/>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شاخص</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تعریف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7"/>
                <w:rtl w:val="1"/>
              </w:rPr>
              <w:t>هدف اولیه پیشنهادی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تکمیل رضایت</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درصد پرونده‌های دارای رضایت معتبر هر دو طرف</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بیش از ۸۵٪ در پایلوت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راستی‌آزمایی</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سهم ادعاهای منتخب با شاهد معتبر</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بیش از ۷۰٪ در دامنه پایلوت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دقت استخراج سند</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انطباق فیلد با تأیید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حداقل ۹۵٪ برای فیلدهای بحرانی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نرخ انتساب معتبر</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خلاصه‌های دارای منبع قابل مشاهده</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۱۰۰٪ خروجی‌های پراثر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زمان پاسخ اعتراض</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از ثبت تا تصمیم انسانی</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حداکثر ۳ روز کاری</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رخداد افشای شدید</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افشای داده بسیار حساس</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صفر</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رضایت کاربر</w:t>
            </w:r>
          </w:p>
        </w:tc>
        <w:tc>
          <w:tcPr>
            <w:tcW w:type="dxa" w:w="453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امتیاز تجربه و احساس کنترل</w:t>
            </w:r>
          </w:p>
        </w:tc>
        <w:tc>
          <w:tcPr>
            <w:tcW w:type="dxa" w:w="2636"/>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حداقل ۴ از ۵</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ارجاع موفق</w:t>
            </w:r>
          </w:p>
        </w:tc>
        <w:tc>
          <w:tcPr>
            <w:tcW w:type="dxa" w:w="453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تکمیل جلسه مشاوره پس از ارجاع</w:t>
            </w:r>
          </w:p>
        </w:tc>
        <w:tc>
          <w:tcPr>
            <w:tcW w:type="dxa" w:w="2636"/>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7"/>
                <w:rtl w:val="1"/>
              </w:rPr>
              <w:t>خط مبنا در پایلوت</w:t>
            </w:r>
          </w:p>
        </w:tc>
      </w:tr>
    </w:tbl>
    <w:p>
      <w:pPr>
        <w:spacing w:after="40"/>
      </w:pPr>
    </w:p>
    <w:p>
      <w:pPr>
        <w:pStyle w:val="Heading2"/>
        <w:spacing w:before="220" w:after="120"/>
        <w:jc w:val="right"/>
        <w:keepNext/>
        <w:bidi w:val="1"/>
      </w:pPr>
      <w:r>
        <w:rPr>
          <w:rFonts w:ascii="Tahoma" w:hAnsi="Tahoma" w:cs="Tahoma"/>
          <w:b/>
          <w:i w:val="0"/>
          <w:color w:val="92251F"/>
          <w:sz w:val="26"/>
          <w:rtl w:val="1"/>
        </w:rPr>
        <w:t>۱۱-۲. معیارهای پذیرش فنی</w:t>
      </w:r>
    </w:p>
    <w:p>
      <w:pPr>
        <w:pStyle w:val="ListBullet"/>
        <w:spacing w:after="80" w:line="293" w:lineRule="auto"/>
        <w:ind w:left="0" w:right="312" w:hanging="142"/>
        <w:jc w:val="right"/>
        <w:widowControl/>
        <w:bidi w:val="1"/>
      </w:pPr>
      <w:r>
        <w:rPr>
          <w:rFonts w:ascii="Tahoma" w:hAnsi="Tahoma" w:cs="Tahoma"/>
          <w:b w:val="0"/>
          <w:i w:val="0"/>
          <w:color w:val="262433"/>
          <w:sz w:val="20"/>
          <w:rtl w:val="1"/>
        </w:rPr>
        <w:t>همه دسترسی‌ها دارای شناسه کاربر، هدف، زمان و نتیجه باشند و قابل گزارش‌گیری شوند.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لغو رضایت، دسترسی‌های آتی را بلافاصله متوقف و وضعیت داده موجود را طبق سیاست تعیین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گزارش هیچ نتیجه پراثری را بدون منبع، تاریخ و سطح اطمینان نمایش ندهد.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آزمون نفوذ بحرانی حل‌نشده، دسترسی پیش‌فرض گسترده یا داده واقعی در لاگ کاربردی وجود نداشته باشد.</w:t>
      </w:r>
    </w:p>
    <w:p>
      <w:pPr>
        <w:pStyle w:val="ListBullet"/>
        <w:spacing w:after="80" w:line="293" w:lineRule="auto"/>
        <w:ind w:left="0" w:right="312" w:hanging="142"/>
        <w:jc w:val="right"/>
        <w:widowControl/>
        <w:bidi w:val="1"/>
      </w:pPr>
      <w:r>
        <w:rPr>
          <w:rFonts w:ascii="Tahoma" w:hAnsi="Tahoma" w:cs="Tahoma"/>
          <w:b w:val="0"/>
          <w:i w:val="0"/>
          <w:color w:val="262433"/>
          <w:sz w:val="20"/>
          <w:rtl w:val="1"/>
        </w:rPr>
        <w:t>مدل در مجموعه آزمون مصوب، حد دقت و تفاوت نرخ خطای گروه‌ها را رعایت کند.</w:t>
      </w:r>
    </w:p>
    <w:p>
      <w:pPr>
        <w:pStyle w:val="ListBullet"/>
        <w:spacing w:after="80" w:line="293" w:lineRule="auto"/>
        <w:ind w:left="0" w:right="312" w:hanging="142"/>
        <w:jc w:val="right"/>
        <w:widowControl/>
        <w:bidi w:val="1"/>
      </w:pPr>
      <w:r>
        <w:rPr>
          <w:rFonts w:ascii="Tahoma" w:hAnsi="Tahoma" w:cs="Tahoma"/>
          <w:b w:val="0"/>
          <w:i w:val="0"/>
          <w:color w:val="262433"/>
          <w:sz w:val="20"/>
          <w:rtl w:val="1"/>
        </w:rPr>
        <w:t>سناریوی اصلاح داده، اعتراض، بستن پرونده و بازیابی از پشتیبان با موفقیت آزمون شود.</w:t>
      </w:r>
    </w:p>
    <w:p>
      <w:pPr>
        <w:pStyle w:val="Heading1"/>
        <w:spacing w:before="320" w:after="180"/>
        <w:jc w:val="right"/>
        <w:keepNext/>
        <w:bidi w:val="1"/>
      </w:pPr>
      <w:r>
        <w:rPr>
          <w:rFonts w:ascii="Tahoma" w:hAnsi="Tahoma" w:cs="Tahoma"/>
          <w:b/>
          <w:i w:val="0"/>
          <w:color w:val="211A3D"/>
          <w:sz w:val="32"/>
          <w:rtl w:val="1"/>
        </w:rPr>
        <w:t>۱۲. ریسک‌ها و کنترل‌ها</w:t>
      </w:r>
    </w:p>
    <w:tbl>
      <w:tblPr>
        <w:bidiVisual w:val="1"/>
        <w:tblW w:type="dxa" w:w="9438"/>
        <w:tblLayout w:type="fixed"/>
        <w:tblLook w:firstColumn="1" w:firstRow="1" w:lastColumn="0" w:lastRow="0" w:noHBand="0" w:noVBand="1" w:val="04A0"/>
        <w:jc w:val="center"/>
        <w:tblInd w:w="120" w:type="dxa"/>
      </w:tblPr>
      <w:tblGrid>
        <w:gridCol w:w="2267"/>
        <w:gridCol w:w="1247"/>
        <w:gridCol w:w="4025"/>
        <w:gridCol w:w="1899"/>
      </w:tblGrid>
      <w:tr>
        <w:trPr>
          <w:tblHeader/>
        </w:trP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ریسک</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شدت</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کنترل پیشنهادی</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shd w:fill="211A3D"/>
          </w:tcPr>
          <w:p>
            <w:pPr>
              <w:spacing w:after="0"/>
              <w:jc w:val="center"/>
              <w:bidi w:val="1"/>
            </w:pPr>
            <w:r>
              <w:rPr>
                <w:rFonts w:ascii="Tahoma" w:hAnsi="Tahoma" w:cs="Tahoma"/>
                <w:b/>
                <w:i w:val="0"/>
                <w:color w:val="FFFFFF"/>
                <w:sz w:val="16"/>
                <w:rtl w:val="1"/>
              </w:rPr>
              <w:t>مالک</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عدم دسترسی به API رسمی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فاز صفر، گزینه گواهی کاربر و دامنه انعطاف‌پذیر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مدیر برنامه</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نقض حریم خصوصی</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حداقل‌گرایی، رضایت، تفکیک داده و ممیزی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مسئول حریم خصوصی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انتساب حساب به فرد اشتباه</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تأیید صاحب حساب، چند شاهد و حق اعتراض</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مالک محصول</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توهم یا خلاصه نادرست</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RAG، نمایش شاهد، حد اطمینان و بازبینی انسانی</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رهبر AI</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سوگیری و برچسب‌زنی</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ممنوعیت صفات حساس، آزمون و کمیته نظارت</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کمیته حاکمیت</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نشت داخلی داده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کمترین دسترسی، DLP، لاگ و پاسخ به رخداد</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امنیت</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اتکای بیش از حد کاربر</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متوسط</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زبان غیرقطعی، آموزش و ارجاع مشاور</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تجربه کاربر</w:t>
            </w:r>
          </w:p>
        </w:tc>
      </w:tr>
      <w:tr>
        <w:tc>
          <w:tcPr>
            <w:tcW w:type="dxa" w:w="226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گسترش بی‌ضابطه دامنه</w:t>
            </w:r>
          </w:p>
        </w:tc>
        <w:tc>
          <w:tcPr>
            <w:tcW w:type="dxa" w:w="1247"/>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زیاد</w:t>
            </w:r>
          </w:p>
        </w:tc>
        <w:tc>
          <w:tcPr>
            <w:tcW w:type="dxa" w:w="4025"/>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دروازه تغییر، DPIA و تصویب مالک داده</w:t>
            </w:r>
          </w:p>
        </w:tc>
        <w:tc>
          <w:tcPr>
            <w:tcW w:type="dxa" w:w="1899"/>
            <w:shd w:fill="F5F4F8"/>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هیئت راهبری</w:t>
            </w:r>
          </w:p>
        </w:tc>
      </w:tr>
      <w:tr>
        <w:tc>
          <w:tcPr>
            <w:tcW w:type="dxa" w:w="226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استفاده ثانویه برای استخدام</w:t>
            </w:r>
          </w:p>
        </w:tc>
        <w:tc>
          <w:tcPr>
            <w:tcW w:type="dxa" w:w="1247"/>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بحرانی</w:t>
            </w:r>
          </w:p>
        </w:tc>
        <w:tc>
          <w:tcPr>
            <w:tcW w:type="dxa" w:w="4025"/>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جداسازی حقوقی/فنی و رضایت تازه</w:t>
            </w:r>
          </w:p>
        </w:tc>
        <w:tc>
          <w:tcPr>
            <w:tcW w:type="dxa" w:w="1899"/>
            <w:tcMar>
              <w:top w:w="90" w:type="dxa"/>
              <w:start w:w="120" w:type="dxa"/>
              <w:bottom w:w="90" w:type="dxa"/>
              <w:end w:w="120" w:type="dxa"/>
            </w:tcMar>
            <w:tcBorders>
              <w:top w:val="single" w:sz="6" w:color="D8D5DE"/>
              <w:start w:val="single" w:sz="6" w:color="D8D5DE"/>
              <w:bottom w:val="single" w:sz="6" w:color="D8D5DE"/>
              <w:end w:val="single" w:sz="6" w:color="D8D5DE"/>
              <w:insideH w:val="single" w:sz="6" w:color="D8D5DE"/>
              <w:insideV w:val="single" w:sz="6" w:color="D8D5DE"/>
            </w:tcBorders>
            <w:vAlign w:val="center"/>
          </w:tcPr>
          <w:p>
            <w:pPr>
              <w:spacing w:after="0" w:line="278" w:lineRule="auto"/>
              <w:jc w:val="right"/>
              <w:bidi w:val="1"/>
            </w:pPr>
            <w:r>
              <w:rPr>
                <w:rFonts w:ascii="Tahoma" w:hAnsi="Tahoma" w:cs="Tahoma"/>
                <w:b w:val="0"/>
                <w:i w:val="0"/>
                <w:color w:val="262433"/>
                <w:sz w:val="16"/>
                <w:rtl w:val="1"/>
              </w:rPr>
              <w:t>کارفرما</w:t>
            </w:r>
          </w:p>
        </w:tc>
      </w:tr>
    </w:tbl>
    <w:p>
      <w:pPr>
        <w:spacing w:after="40"/>
      </w:pPr>
    </w:p>
    <w:p>
      <w:pPr>
        <w:pStyle w:val="Heading2"/>
        <w:spacing w:before="220" w:after="120"/>
        <w:jc w:val="right"/>
        <w:keepNext/>
        <w:bidi w:val="1"/>
      </w:pPr>
      <w:r>
        <w:rPr>
          <w:rFonts w:ascii="Tahoma" w:hAnsi="Tahoma" w:cs="Tahoma"/>
          <w:b/>
          <w:i w:val="0"/>
          <w:color w:val="92251F"/>
          <w:sz w:val="26"/>
          <w:rtl w:val="1"/>
        </w:rPr>
        <w:t>مدل حاکمیت پیشنهادی</w:t>
      </w:r>
    </w:p>
    <w:p>
      <w:pPr>
        <w:spacing w:before="0" w:after="160" w:line="317" w:lineRule="auto"/>
        <w:jc w:val="right"/>
        <w:keepNext w:val="0"/>
        <w:widowControl/>
        <w:bidi w:val="1"/>
      </w:pPr>
      <w:r>
        <w:rPr>
          <w:rFonts w:ascii="Tahoma" w:hAnsi="Tahoma" w:cs="Tahoma"/>
          <w:b w:val="0"/>
          <w:i w:val="0"/>
          <w:color w:val="262433"/>
          <w:sz w:val="21"/>
          <w:rtl w:val="1"/>
        </w:rPr>
        <w:t>هیئت راهبری شامل نماینده کارفرما، حقوقی، امنیت، متخصص خانواده، محصول و نماینده کاربران باشد. تغییر در منبع داده، هدف استفاده، ویژگی پراثر یا مدل اصلی بدون ثبت ارزیابی اثر و تصویب هیئت راهبری وارد تولید نشود. گزارش دوره‌ای باید کیفیت، شکایات، سوگیری، رخدادهای امنیتی و درخواست‌های حذف را پوشش دهد.</w:t>
      </w:r>
    </w:p>
    <w:p>
      <w:pPr>
        <w:pStyle w:val="Heading1"/>
        <w:spacing w:before="320" w:after="180"/>
        <w:jc w:val="right"/>
        <w:keepNext/>
        <w:bidi w:val="1"/>
      </w:pPr>
      <w:r>
        <w:rPr>
          <w:rFonts w:ascii="Tahoma" w:hAnsi="Tahoma" w:cs="Tahoma"/>
          <w:b/>
          <w:i w:val="0"/>
          <w:color w:val="211A3D"/>
          <w:sz w:val="32"/>
          <w:rtl w:val="1"/>
        </w:rPr>
        <w:t>۱۳. جمع‌بندی و تصمیمات مورد نیاز</w:t>
      </w:r>
    </w:p>
    <w:p>
      <w:pPr>
        <w:spacing w:before="0" w:after="160" w:line="317" w:lineRule="auto"/>
        <w:jc w:val="right"/>
        <w:keepNext w:val="0"/>
        <w:widowControl/>
        <w:bidi w:val="1"/>
      </w:pPr>
      <w:r>
        <w:rPr>
          <w:rFonts w:ascii="Tahoma" w:hAnsi="Tahoma" w:cs="Tahoma"/>
          <w:b w:val="0"/>
          <w:i w:val="0"/>
          <w:color w:val="262433"/>
          <w:sz w:val="21"/>
          <w:rtl w:val="1"/>
        </w:rPr>
        <w:t>سامانه همراهِ انتخاب از نظر فنی قابل ساخت است، اما موفقیت آن بیش از مدل هوش مصنوعی به اعتماد، حاکمیت داده و همکاری رسمی دستگاه‌ها وابسته است. نسخه قابل دفاع پروژه باید از یک پرونده رضایت‌محور و راستی‌آزمایی حداقلی شروع کند و سپس تنها اتصال‌هایی را توسعه دهد که مبنای قانونی، کیفیت داده و سطح خدمت روشن دارند.</w:t>
      </w:r>
    </w:p>
    <w:p>
      <w:pPr>
        <w:pStyle w:val="Heading2"/>
        <w:spacing w:before="220" w:after="120"/>
        <w:jc w:val="right"/>
        <w:keepNext/>
        <w:bidi w:val="1"/>
      </w:pPr>
      <w:r>
        <w:rPr>
          <w:rFonts w:ascii="Tahoma" w:hAnsi="Tahoma" w:cs="Tahoma"/>
          <w:b/>
          <w:i w:val="0"/>
          <w:color w:val="92251F"/>
          <w:sz w:val="26"/>
          <w:rtl w:val="1"/>
        </w:rPr>
        <w:t>تصمیمات لازم برای آغاز فاز صفر</w:t>
      </w:r>
    </w:p>
    <w:p>
      <w:pPr>
        <w:pStyle w:val="ListNumber"/>
        <w:spacing w:after="80" w:line="293" w:lineRule="auto"/>
        <w:ind w:right="329" w:hanging="159"/>
        <w:jc w:val="right"/>
        <w:bidi w:val="1"/>
      </w:pPr>
      <w:r>
        <w:rPr>
          <w:rFonts w:ascii="Tahoma" w:hAnsi="Tahoma" w:cs="Tahoma"/>
          <w:b w:val="0"/>
          <w:i w:val="0"/>
          <w:color w:val="262433"/>
          <w:sz w:val="20"/>
          <w:rtl w:val="1"/>
        </w:rPr>
        <w:t>تعیین مالک محصول، نهاد متولی و ترکیب هیئت راهبری.</w:t>
      </w:r>
    </w:p>
    <w:p>
      <w:pPr>
        <w:pStyle w:val="ListNumber"/>
        <w:spacing w:after="80" w:line="293" w:lineRule="auto"/>
        <w:ind w:right="329" w:hanging="159"/>
        <w:jc w:val="right"/>
        <w:bidi w:val="1"/>
      </w:pPr>
      <w:r>
        <w:rPr>
          <w:rFonts w:ascii="Tahoma" w:hAnsi="Tahoma" w:cs="Tahoma"/>
          <w:b w:val="0"/>
          <w:i w:val="0"/>
          <w:color w:val="262433"/>
          <w:sz w:val="20"/>
          <w:rtl w:val="1"/>
        </w:rPr>
        <w:t>تأیید نام و دامنه مأموریت: تصمیم‌یار ازدواج و خدمات حمایتی، نه سامانه تحقیق مخفیانه.</w:t>
      </w:r>
    </w:p>
    <w:p>
      <w:pPr>
        <w:pStyle w:val="ListNumber"/>
        <w:spacing w:after="80" w:line="293" w:lineRule="auto"/>
        <w:ind w:right="329" w:hanging="159"/>
        <w:jc w:val="right"/>
        <w:bidi w:val="1"/>
      </w:pPr>
      <w:r>
        <w:rPr>
          <w:rFonts w:ascii="Tahoma" w:hAnsi="Tahoma" w:cs="Tahoma"/>
          <w:b w:val="0"/>
          <w:i w:val="0"/>
          <w:color w:val="262433"/>
          <w:sz w:val="20"/>
          <w:rtl w:val="1"/>
        </w:rPr>
        <w:t>معرفی دستگاه‌های هدف و نمایندگان رسمی برای مذاکره داده و API.</w:t>
      </w:r>
    </w:p>
    <w:p>
      <w:pPr>
        <w:pStyle w:val="ListNumber"/>
        <w:spacing w:after="80" w:line="293" w:lineRule="auto"/>
        <w:ind w:right="329" w:hanging="159"/>
        <w:jc w:val="right"/>
        <w:bidi w:val="1"/>
      </w:pPr>
      <w:r>
        <w:rPr>
          <w:rFonts w:ascii="Tahoma" w:hAnsi="Tahoma" w:cs="Tahoma"/>
          <w:b w:val="0"/>
          <w:i w:val="0"/>
          <w:color w:val="262433"/>
          <w:sz w:val="20"/>
          <w:rtl w:val="1"/>
        </w:rPr>
        <w:t>تعیین جامعه پایلوت، شهر/استان، نقش مشاوران و ظرفیت پشتیبانی.</w:t>
      </w:r>
    </w:p>
    <w:p>
      <w:pPr>
        <w:pStyle w:val="ListNumber"/>
        <w:spacing w:after="80" w:line="293" w:lineRule="auto"/>
        <w:ind w:right="329" w:hanging="159"/>
        <w:jc w:val="right"/>
        <w:bidi w:val="1"/>
      </w:pPr>
      <w:r>
        <w:rPr>
          <w:rFonts w:ascii="Tahoma" w:hAnsi="Tahoma" w:cs="Tahoma"/>
          <w:b w:val="0"/>
          <w:i w:val="0"/>
          <w:color w:val="262433"/>
          <w:sz w:val="20"/>
          <w:rtl w:val="1"/>
        </w:rPr>
        <w:t>انتخاب مدل استقرار: زیرساخت کارفرما، ابر خصوصی یا مرکز داده مورد تأیید.</w:t>
      </w:r>
    </w:p>
    <w:p>
      <w:pPr>
        <w:pStyle w:val="ListNumber"/>
        <w:spacing w:after="80" w:line="293" w:lineRule="auto"/>
        <w:ind w:right="329" w:hanging="159"/>
        <w:jc w:val="right"/>
        <w:bidi w:val="1"/>
      </w:pPr>
      <w:r>
        <w:rPr>
          <w:rFonts w:ascii="Tahoma" w:hAnsi="Tahoma" w:cs="Tahoma"/>
          <w:b w:val="0"/>
          <w:i w:val="0"/>
          <w:color w:val="262433"/>
          <w:sz w:val="20"/>
          <w:rtl w:val="1"/>
        </w:rPr>
        <w:t>تخصیص بودجه فاز صفر و پذیرش اصل قیمت‌گذاری مرحله‌ای اتصال‌ها.</w:t>
      </w:r>
    </w:p>
    <w:tbl>
      <w:tblPr>
        <w:tblW w:type="dxa" w:w="9439"/>
        <w:jc w:val="center"/>
        <w:tblLayout w:type="fixed"/>
        <w:tblLook w:firstColumn="1" w:firstRow="1" w:lastColumn="0" w:lastRow="0" w:noHBand="0" w:noVBand="1" w:val="04A0"/>
        <w:tblInd w:w="120" w:type="dxa"/>
      </w:tblPr>
      <w:tblGrid>
        <w:gridCol w:w="9439"/>
      </w:tblGrid>
      <w:tr>
        <w:trPr>
          <w:cantSplit w:val="1"/>
        </w:trPr>
        <w:tc>
          <w:tcPr>
            <w:tcW w:type="dxa" w:w="9439"/>
            <w:tcMar>
              <w:top w:w="90" w:type="dxa"/>
              <w:start w:w="120" w:type="dxa"/>
              <w:bottom w:w="90" w:type="dxa"/>
              <w:end w:w="120" w:type="dxa"/>
            </w:tcMar>
            <w:tcBorders>
              <w:top w:val="single" w:sz="10" w:color="4F92EA"/>
              <w:start w:val="single" w:sz="10" w:color="4F92EA"/>
              <w:bottom w:val="single" w:sz="10" w:color="4F92EA"/>
              <w:end w:val="single" w:sz="10" w:color="4F92EA"/>
              <w:insideH w:val="single" w:sz="10" w:color="4F92EA"/>
              <w:insideV w:val="single" w:sz="10" w:color="4F92EA"/>
            </w:tcBorders>
            <w:vAlign w:val="center"/>
            <w:shd w:fill="EDF4FD"/>
          </w:tcPr>
          <w:p>
            <w:pPr>
              <w:spacing w:after="0" w:line="300" w:lineRule="auto"/>
              <w:jc w:val="right"/>
              <w:bidi w:val="1"/>
            </w:pPr>
            <w:r>
              <w:rPr>
                <w:rFonts w:ascii="Tahoma" w:hAnsi="Tahoma" w:cs="Tahoma"/>
                <w:b/>
                <w:i w:val="0"/>
                <w:color w:val="4F92EA"/>
                <w:sz w:val="21"/>
                <w:rtl w:val="1"/>
              </w:rPr>
              <w:t xml:space="preserve">پیشنهاد نهایی  </w:t>
            </w:r>
            <w:r>
              <w:rPr>
                <w:rFonts w:ascii="Tahoma" w:hAnsi="Tahoma" w:cs="Tahoma"/>
                <w:b w:val="0"/>
                <w:i w:val="0"/>
                <w:color w:val="262433"/>
                <w:sz w:val="20"/>
                <w:rtl w:val="1"/>
              </w:rPr>
              <w:t>قرارداد نخست صرفاً برای فاز صفر ۶ تا ۸ هفته‌ای منعقد شود. خروجی این فاز باید برای هر قابلیت یک تصمیم روشن «اجرا، اجرای مشروط یا عدم اجرا» و برای MVP دامنه، زمان و بودجه قابل اتکا تولید کند.</w:t>
            </w:r>
          </w:p>
        </w:tc>
      </w:tr>
    </w:tbl>
    <w:p>
      <w:pPr>
        <w:spacing w:after="20"/>
      </w:pPr>
    </w:p>
    <w:p>
      <w:pPr>
        <w:pStyle w:val="Heading1"/>
        <w:spacing w:before="320" w:after="180"/>
        <w:jc w:val="right"/>
        <w:keepNext/>
        <w:bidi w:val="1"/>
      </w:pPr>
      <w:r>
        <w:rPr>
          <w:rFonts w:ascii="Tahoma" w:hAnsi="Tahoma" w:cs="Tahoma"/>
          <w:b/>
          <w:i w:val="0"/>
          <w:color w:val="211A3D"/>
          <w:sz w:val="32"/>
          <w:rtl w:val="1"/>
        </w:rPr>
        <w:t>پیوست الف - فهرست پرسش‌های فاز صفر</w:t>
      </w:r>
    </w:p>
    <w:p>
      <w:pPr>
        <w:pStyle w:val="ListBullet"/>
        <w:spacing w:after="20" w:line="259" w:lineRule="auto"/>
        <w:ind w:left="0" w:right="312" w:hanging="142"/>
        <w:jc w:val="right"/>
        <w:widowControl/>
        <w:bidi w:val="1"/>
      </w:pPr>
      <w:r>
        <w:rPr>
          <w:rFonts w:ascii="Tahoma" w:hAnsi="Tahoma" w:cs="Tahoma"/>
          <w:b w:val="0"/>
          <w:i w:val="0"/>
          <w:color w:val="262433"/>
          <w:sz w:val="18"/>
          <w:rtl w:val="1"/>
        </w:rPr>
        <w:t>کارفرما دقیقاً چه مسئولیت قانونی و چه جامعه هدفی دارد؟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آیا مالک هر پایگاه داده، ارائه نتیجه برای این هدف را مجاز می‌داند؟</w:t>
      </w:r>
    </w:p>
    <w:p>
      <w:pPr>
        <w:pStyle w:val="ListBullet"/>
        <w:spacing w:after="20" w:line="259" w:lineRule="auto"/>
        <w:ind w:left="0" w:right="312" w:hanging="142"/>
        <w:jc w:val="right"/>
        <w:widowControl/>
        <w:bidi w:val="1"/>
      </w:pPr>
      <w:r>
        <w:rPr>
          <w:rFonts w:ascii="Tahoma" w:hAnsi="Tahoma" w:cs="Tahoma"/>
          <w:b w:val="0"/>
          <w:i w:val="0"/>
          <w:color w:val="262433"/>
          <w:sz w:val="18"/>
          <w:rtl w:val="1"/>
        </w:rPr>
        <w:t>کمینه پاسخ لازم چیست: تأیید/عدم تأیید، وضعیت گواهی یا جزئیات بیشتر؟</w:t>
      </w:r>
    </w:p>
    <w:p>
      <w:pPr>
        <w:pStyle w:val="ListBullet"/>
        <w:spacing w:after="20" w:line="259" w:lineRule="auto"/>
        <w:ind w:left="0" w:right="312" w:hanging="142"/>
        <w:jc w:val="right"/>
        <w:widowControl/>
        <w:bidi w:val="1"/>
      </w:pPr>
      <w:r>
        <w:rPr>
          <w:rFonts w:ascii="Tahoma" w:hAnsi="Tahoma" w:cs="Tahoma"/>
          <w:b w:val="0"/>
          <w:i w:val="0"/>
          <w:color w:val="262433"/>
          <w:sz w:val="18"/>
          <w:rtl w:val="1"/>
        </w:rPr>
        <w:t>رضایت چگونه احراز، ثبت، تمدید و لغو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داده چه مدت نگهداری و پس از خاتمه آشنایی چگونه حذف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چه کسی حق مشاهده داده خام را دارد و چه کسی فقط خلاصه را می‌بیند؟</w:t>
      </w:r>
    </w:p>
    <w:p>
      <w:pPr>
        <w:pStyle w:val="ListBullet"/>
        <w:spacing w:after="20" w:line="259" w:lineRule="auto"/>
        <w:ind w:left="0" w:right="312" w:hanging="142"/>
        <w:jc w:val="right"/>
        <w:widowControl/>
        <w:bidi w:val="1"/>
      </w:pPr>
      <w:r>
        <w:rPr>
          <w:rFonts w:ascii="Tahoma" w:hAnsi="Tahoma" w:cs="Tahoma"/>
          <w:b w:val="0"/>
          <w:i w:val="0"/>
          <w:color w:val="262433"/>
          <w:sz w:val="18"/>
          <w:rtl w:val="1"/>
        </w:rPr>
        <w:t>فرایند اعتراض، تصحیح منبع و توقف اثر نتیجه چیست؟</w:t>
      </w:r>
    </w:p>
    <w:p>
      <w:pPr>
        <w:pStyle w:val="ListBullet"/>
        <w:spacing w:after="20" w:line="259" w:lineRule="auto"/>
        <w:ind w:left="0" w:right="312" w:hanging="142"/>
        <w:jc w:val="right"/>
        <w:widowControl/>
        <w:bidi w:val="1"/>
      </w:pPr>
      <w:r>
        <w:rPr>
          <w:rFonts w:ascii="Tahoma" w:hAnsi="Tahoma" w:cs="Tahoma"/>
          <w:b w:val="0"/>
          <w:i w:val="0"/>
          <w:color w:val="262433"/>
          <w:sz w:val="18"/>
          <w:rtl w:val="1"/>
        </w:rPr>
        <w:t>چه سناریوهایی نیازمند ارجاع فوری به مشاور یا مرجع صلاحیت‌دار است؟</w:t>
      </w:r>
    </w:p>
    <w:p>
      <w:pPr>
        <w:pStyle w:val="ListBullet"/>
        <w:spacing w:after="20" w:line="259" w:lineRule="auto"/>
        <w:ind w:left="0" w:right="312" w:hanging="142"/>
        <w:jc w:val="right"/>
        <w:widowControl/>
        <w:bidi w:val="1"/>
      </w:pPr>
      <w:r>
        <w:rPr>
          <w:rFonts w:ascii="Tahoma" w:hAnsi="Tahoma" w:cs="Tahoma"/>
          <w:b w:val="0"/>
          <w:i w:val="0"/>
          <w:color w:val="262433"/>
          <w:sz w:val="18"/>
          <w:rtl w:val="1"/>
        </w:rPr>
        <w:t>حد قابل قبول خطای مدل و مسئولیت هر خطا چگونه تعریف می‌شود؟</w:t>
      </w:r>
    </w:p>
    <w:p>
      <w:pPr>
        <w:pStyle w:val="ListBullet"/>
        <w:spacing w:after="20" w:line="259" w:lineRule="auto"/>
        <w:ind w:left="0" w:right="312" w:hanging="142"/>
        <w:jc w:val="right"/>
        <w:widowControl/>
        <w:bidi w:val="1"/>
      </w:pPr>
      <w:r>
        <w:rPr>
          <w:rFonts w:ascii="Tahoma" w:hAnsi="Tahoma" w:cs="Tahoma"/>
          <w:b w:val="0"/>
          <w:i w:val="0"/>
          <w:color w:val="262433"/>
          <w:sz w:val="18"/>
          <w:rtl w:val="1"/>
        </w:rPr>
        <w:t>آیا جداسازی کامل خدمات پس از ازدواج و اشتغال از پرونده آشنایی پذیرفته می‌شود؟</w:t>
      </w:r>
    </w:p>
    <w:p>
      <w:pPr>
        <w:pStyle w:val="Heading1"/>
        <w:spacing w:before="320" w:after="180"/>
        <w:jc w:val="right"/>
        <w:keepNext/>
        <w:bidi w:val="1"/>
      </w:pPr>
      <w:r>
        <w:rPr>
          <w:rFonts w:ascii="Tahoma" w:hAnsi="Tahoma" w:cs="Tahoma"/>
          <w:b/>
          <w:i w:val="0"/>
          <w:color w:val="211A3D"/>
          <w:sz w:val="32"/>
          <w:rtl w:val="1"/>
        </w:rPr>
        <w:t>پیوست ب - منابع و چارچوب‌های مرجع</w:t>
      </w:r>
    </w:p>
    <w:p>
      <w:pPr>
        <w:spacing w:before="0" w:after="40" w:line="252" w:lineRule="auto"/>
        <w:jc w:val="right"/>
        <w:keepNext w:val="0"/>
        <w:widowControl/>
        <w:bidi w:val="1"/>
      </w:pPr>
      <w:r>
        <w:rPr>
          <w:rFonts w:ascii="Tahoma" w:hAnsi="Tahoma" w:cs="Tahoma"/>
          <w:b w:val="0"/>
          <w:i w:val="0"/>
          <w:color w:val="262433"/>
          <w:sz w:val="17"/>
          <w:rtl w:val="1"/>
        </w:rPr>
        <w:t xml:space="preserve">1. قانون انتشار و دسترسی آزاد به اطلاعات: </w:t>
      </w:r>
      <w:hyperlink r:id="rId14">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2. آیین‌نامه اجرایی قانون انتشار و دسترسی آزاد به اطلاعات (تعریف حریم خصوصی): </w:t>
      </w:r>
      <w:hyperlink r:id="rId15">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3. شیوه‌نامه تشخیص و تفکیک اطلاعات مربوط به حریم خصوصی از اطلاعات عمومی: </w:t>
      </w:r>
      <w:hyperlink r:id="rId16">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4. قانون مدیریت داده‌ها و اطلاعات ملی: </w:t>
      </w:r>
      <w:hyperlink r:id="rId17">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5. درگاه خدمات الکترونیک قضایی - خدمت درخواست گواهی عدم سوءپیشینه: </w:t>
      </w:r>
      <w:hyperlink r:id="rId18">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6. NIST AI Risk Management Framework 1.0: </w:t>
      </w:r>
      <w:hyperlink r:id="rId19">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7. ISO/IEC 27001:2022 - سیستم مدیریت امنیت اطلاعات: </w:t>
      </w:r>
      <w:hyperlink r:id="rId20">
        <w:r>
          <w:rPr>
            <w:rFonts w:ascii="Tahoma" w:hAnsi="Tahoma" w:cs="Tahoma"/>
            <w:color w:val="4F92EA"/>
            <w:u w:val="single"/>
            <w:rtl w:val="1"/>
            <w:sz w:val="17"/>
            <w:szCs w:val="17"/>
          </w:rPr>
          <w:t>مشاهده منبع</w:t>
        </w:r>
      </w:hyperlink>
    </w:p>
    <w:p>
      <w:pPr>
        <w:spacing w:before="0" w:after="40" w:line="252" w:lineRule="auto"/>
        <w:jc w:val="right"/>
        <w:keepNext w:val="0"/>
        <w:widowControl/>
        <w:bidi w:val="1"/>
      </w:pPr>
      <w:r>
        <w:rPr>
          <w:rFonts w:ascii="Tahoma" w:hAnsi="Tahoma" w:cs="Tahoma"/>
          <w:b w:val="0"/>
          <w:i w:val="0"/>
          <w:color w:val="262433"/>
          <w:sz w:val="17"/>
          <w:rtl w:val="1"/>
        </w:rPr>
        <w:t xml:space="preserve">8. ISO/IEC 27701:2025 - سیستم مدیریت اطلاعات حریم خصوصی: </w:t>
      </w:r>
      <w:hyperlink r:id="rId21">
        <w:r>
          <w:rPr>
            <w:rFonts w:ascii="Tahoma" w:hAnsi="Tahoma" w:cs="Tahoma"/>
            <w:color w:val="4F92EA"/>
            <w:u w:val="single"/>
            <w:rtl w:val="1"/>
            <w:sz w:val="17"/>
            <w:szCs w:val="17"/>
          </w:rPr>
          <w:t>مشاهده منبع</w:t>
        </w:r>
      </w:hyperlink>
    </w:p>
    <w:sectPr w:rsidR="00FC693F" w:rsidRPr="0006063C" w:rsidSect="00034616">
      <w:headerReference w:type="default" r:id="rId9"/>
      <w:footerReference w:type="default" r:id="rId10"/>
      <w:pgSz w:w="11906" w:h="16838"/>
      <w:pgMar w:top="1020" w:right="1020" w:bottom="964"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bidi w:val="1"/>
    </w:pPr>
    <w:r>
      <w:rPr>
        <w:rFonts w:ascii="Tahoma" w:hAnsi="Tahoma" w:cs="Tahoma"/>
        <w:b w:val="0"/>
        <w:i w:val="0"/>
        <w:color w:val="66636F"/>
        <w:sz w:val="17"/>
        <w:rtl w:val="1"/>
      </w:rPr>
      <w:t xml:space="preserve">صفحه </w:t>
    </w:r>
    <w:r>
      <w:rPr>
        <w:rFonts w:ascii="Tahoma" w:hAnsi="Tahoma" w:cs="Tahoma"/>
        <w:b w:val="0"/>
        <w:i w:val="0"/>
        <w:color w:val="66636F"/>
        <w:sz w:val="17"/>
        <w:rtl w:val="1"/>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p>
  <w:tbl>
    <w:tblPr>
      <w:tblW w:type="auto" w:w="0"/>
      <w:jc w:val="center"/>
      <w:tblLayout w:type="fixed"/>
      <w:tblLook w:firstColumn="1" w:firstRow="1" w:lastColumn="0" w:lastRow="0" w:noHBand="0" w:noVBand="1" w:val="04A0"/>
    </w:tblPr>
    <w:tblGrid>
      <w:gridCol w:w="3288"/>
      <w:gridCol w:w="3288"/>
      <w:gridCol w:w="3288"/>
    </w:tblGrid>
    <w:tr>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left"/>
          </w:pPr>
          <w:r>
            <w:drawing>
              <wp:inline xmlns:a="http://schemas.openxmlformats.org/drawingml/2006/main" xmlns:pic="http://schemas.openxmlformats.org/drawingml/2006/picture">
                <wp:extent cx="378000" cy="378000"/>
                <wp:docPr id="1" name="Picture 1" descr="نشان آکادمی علوم و فناوری‌های نوین Sciencinnov" title="نشان آکادمی علوم و فناوری‌های نوین Sciencinnov"/>
                <wp:cNvGraphicFramePr>
                  <a:graphicFrameLocks noChangeAspect="1"/>
                </wp:cNvGraphicFramePr>
                <a:graphic>
                  <a:graphicData uri="http://schemas.openxmlformats.org/drawingml/2006/picture">
                    <pic:pic>
                      <pic:nvPicPr>
                        <pic:cNvPr id="0" name="logo.jpg"/>
                        <pic:cNvPicPr/>
                      </pic:nvPicPr>
                      <pic:blipFill>
                        <a:blip r:embed="rId1"/>
                        <a:stretch>
                          <a:fillRect/>
                        </a:stretch>
                      </pic:blipFill>
                      <pic:spPr>
                        <a:xfrm>
                          <a:off x="0" y="0"/>
                          <a:ext cx="378000" cy="378000"/>
                        </a:xfrm>
                        <a:prstGeom prst="rect"/>
                      </pic:spPr>
                    </pic:pic>
                  </a:graphicData>
                </a:graphic>
              </wp:inline>
            </w:drawing>
          </w:r>
        </w:p>
      </w:tc>
      <w:tc>
        <w:tcPr>
          <w:tcW w:type="dxa" w:w="6180"/>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center"/>
            <w:bidi w:val="1"/>
          </w:pPr>
          <w:r>
            <w:rPr>
              <w:rFonts w:ascii="Tahoma" w:hAnsi="Tahoma" w:cs="Tahoma"/>
              <w:b/>
              <w:i w:val="0"/>
              <w:color w:val="211A3D"/>
              <w:sz w:val="17"/>
              <w:rtl w:val="1"/>
            </w:rPr>
            <w:t>پروپوزال سامانه هوشمند همراهِ انتخاب</w:t>
          </w:r>
        </w:p>
      </w:tc>
      <w:tc>
        <w:tcPr>
          <w:tcW w:type="dxa" w:w="1814"/>
          <w:tcMar>
            <w:top w:w="0" w:type="dxa"/>
            <w:start w:w="30" w:type="dxa"/>
            <w:bottom w:w="0" w:type="dxa"/>
            <w:end w:w="30" w:type="dxa"/>
          </w:tcMar>
          <w:tcBorders>
            <w:top w:val="single" w:sz="0" w:color="FFFFFF"/>
            <w:start w:val="single" w:sz="0" w:color="FFFFFF"/>
            <w:bottom w:val="single" w:sz="0" w:color="FFFFFF"/>
            <w:end w:val="single" w:sz="0" w:color="FFFFFF"/>
            <w:insideH w:val="single" w:sz="0" w:color="FFFFFF"/>
            <w:insideV w:val="single" w:sz="0" w:color="FFFFFF"/>
          </w:tcBorders>
        </w:tcPr>
        <w:p>
          <w:pPr>
            <w:jc w:val="right"/>
          </w:pPr>
          <w:r>
            <w:drawing>
              <wp:inline xmlns:a="http://schemas.openxmlformats.org/drawingml/2006/main" xmlns:pic="http://schemas.openxmlformats.org/drawingml/2006/picture">
                <wp:extent cx="846000" cy="389830"/>
                <wp:docPr id="2" name="Picture 2" descr="نشان Innovation Center for Data Science" title="نشان Innovation Center for Data Science"/>
                <wp:cNvGraphicFramePr>
                  <a:graphicFrameLocks noChangeAspect="1"/>
                </wp:cNvGraphicFramePr>
                <a:graphic>
                  <a:graphicData uri="http://schemas.openxmlformats.org/drawingml/2006/picture">
                    <pic:pic>
                      <pic:nvPicPr>
                        <pic:cNvPr id="0" name="logo_icds.png"/>
                        <pic:cNvPicPr/>
                      </pic:nvPicPr>
                      <pic:blipFill>
                        <a:blip r:embed="rId2"/>
                        <a:stretch>
                          <a:fillRect/>
                        </a:stretch>
                      </pic:blipFill>
                      <pic:spPr>
                        <a:xfrm>
                          <a:off x="0" y="0"/>
                          <a:ext cx="846000" cy="389830"/>
                        </a:xfrm>
                        <a:prstGeom prst="rect"/>
                      </pic:spPr>
                    </pic:pic>
                  </a:graphicData>
                </a:graphic>
              </wp:inline>
            </w:drawing>
          </w:r>
        </w:p>
      </w:tc>
    </w:tr>
  </w:tbl>
  <w:p>
    <w:pPr>
      <w:spacing w:after="0"/>
      <w:pBdr>
        <w:bottom w:val="single" w:sz="5" w:space="1" w:color="D8D5D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7" w:lineRule="auto"/>
      <w:jc w:val="right"/>
      <w:bidi w:val="1"/>
    </w:pPr>
    <w:rPr>
      <w:rFonts w:ascii="Tahoma" w:hAnsi="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bidi w:val="1"/>
    </w:pPr>
    <w:rPr>
      <w:rFonts w:asciiTheme="majorHAnsi" w:eastAsiaTheme="majorEastAsia" w:hAnsiTheme="majorHAnsi" w:cstheme="majorBidi" w:ascii="Tahoma" w:hAnsi="Tahoma" w:cs="Tahoma"/>
      <w:b/>
      <w:bCs/>
      <w:color w:val="211A3D"/>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bidi w:val="1"/>
    </w:pPr>
    <w:rPr>
      <w:rFonts w:asciiTheme="majorHAnsi" w:eastAsiaTheme="majorEastAsia" w:hAnsiTheme="majorHAnsi" w:cstheme="majorBidi" w:ascii="Tahoma" w:hAnsi="Tahoma" w:cs="Tahoma"/>
      <w:b/>
      <w:bCs/>
      <w:color w:val="92251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bidi w:val="1"/>
    </w:pPr>
    <w:rPr>
      <w:rFonts w:asciiTheme="majorHAnsi" w:eastAsiaTheme="majorEastAsia" w:hAnsiTheme="majorHAnsi" w:cstheme="majorBidi" w:ascii="Tahoma" w:hAnsi="Tahoma" w:cs="Tahoma"/>
      <w:b/>
      <w:bCs/>
      <w:color w:val="211A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nezamat.ir/post-37380/" TargetMode="External"/><Relationship Id="rId15" Type="http://schemas.openxmlformats.org/officeDocument/2006/relationships/hyperlink" Target="https://nezamat.ir/post-39675/" TargetMode="External"/><Relationship Id="rId16" Type="http://schemas.openxmlformats.org/officeDocument/2006/relationships/hyperlink" Target="https://nezamat.ir/post-41049/" TargetMode="External"/><Relationship Id="rId17" Type="http://schemas.openxmlformats.org/officeDocument/2006/relationships/hyperlink" Target="https://nezamat.ir/post-44082/" TargetMode="External"/><Relationship Id="rId18" Type="http://schemas.openxmlformats.org/officeDocument/2006/relationships/hyperlink" Target="https://adliran.ir/" TargetMode="External"/><Relationship Id="rId19" Type="http://schemas.openxmlformats.org/officeDocument/2006/relationships/hyperlink" Target="https://www.nist.gov/publications/artificial-intelligence-risk-management-framework-ai-rmf-10" TargetMode="External"/><Relationship Id="rId20" Type="http://schemas.openxmlformats.org/officeDocument/2006/relationships/hyperlink" Target="https://www.iso.org/standard/27001" TargetMode="External"/><Relationship Id="rId21" Type="http://schemas.openxmlformats.org/officeDocument/2006/relationships/hyperlink" Target="https://www.iso.org/standard/2770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سامانه هوشمند همراه انتخاب</dc:title>
  <dc:subject>امکان‌سنجی و طراحی پلتفرم حمایت از تصمیم آگاهانه برای ازدواج</dc:subject>
  <dc:creator>تیم تدوین پروپوزال</dc:creator>
  <cp:keywords>ازدواج، هوش مصنوعی، حاکمیت داده، احراز اطلاعات، مشاوره</cp:keywords>
  <dc:description>generated by python-docx</dc:description>
  <cp:lastModifiedBy/>
  <cp:revision>1</cp:revision>
  <dcterms:created xsi:type="dcterms:W3CDTF">2013-12-23T23:15:00Z</dcterms:created>
  <dcterms:modified xsi:type="dcterms:W3CDTF">2013-12-23T23:15:00Z</dcterms:modified>
  <cp:category/>
</cp:coreProperties>
</file>