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。此外，随着甲骨文数字化工作的推进，数据规模呈指数级增长，传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CA8B838">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2E51A16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4FBB19F" w:rsidR="007F38F2" w:rsidRDefault="003E004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6DA0EFA" wp14:editId="322734E8">
            <wp:extent cx="4545129" cy="2597150"/>
            <wp:effectExtent l="0" t="0" r="8255" b="0"/>
            <wp:docPr id="426537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7790" name="图片 426537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090" cy="260169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9903A1"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9903A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0A384D">
        <w:rPr>
          <w:rFonts w:ascii="Times New Roman" w:eastAsia="方正书宋简体" w:hAnsi="Times New Roman" w:cs="Times New Roman" w:hint="eastAsia"/>
          <w:color w:val="FF0000"/>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7405A556" w:rsidR="00FD7551" w:rsidRPr="00FD7551" w:rsidRDefault="009903A1"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min⁡(N,10)</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Pr>
          <w:rFonts w:ascii="Times New Roman" w:eastAsia="方正书宋简体" w:hAnsi="Times New Roman" w:cs="Times New Roman" w:hint="eastAsia"/>
          <w:color w:val="FF0000"/>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 xml:space="preserve">Johnson, J., </w:t>
      </w:r>
      <w:proofErr w:type="spellStart"/>
      <w:r>
        <w:t>Douze</w:t>
      </w:r>
      <w:proofErr w:type="spellEnd"/>
      <w:r>
        <w:t xml:space="preserve">, M., &amp; </w:t>
      </w:r>
      <w:proofErr w:type="spellStart"/>
      <w:r>
        <w:t>Jégou</w:t>
      </w:r>
      <w:proofErr w:type="spellEnd"/>
      <w:r>
        <w:t>,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w:t>
      </w:r>
      <w:proofErr w:type="spellStart"/>
      <w:r>
        <w:t>Zhenyu</w:t>
      </w:r>
      <w:proofErr w:type="spellEnd"/>
      <w:r>
        <w:t xml:space="preserve">.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7B20" w14:textId="77777777" w:rsidR="009903A1" w:rsidRDefault="009903A1" w:rsidP="00D94446">
      <w:r>
        <w:separator/>
      </w:r>
    </w:p>
  </w:endnote>
  <w:endnote w:type="continuationSeparator" w:id="0">
    <w:p w14:paraId="6B4BFC3B" w14:textId="77777777" w:rsidR="009903A1" w:rsidRDefault="009903A1"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D273" w14:textId="77777777" w:rsidR="009903A1" w:rsidRDefault="009903A1" w:rsidP="00D94446">
      <w:r>
        <w:separator/>
      </w:r>
    </w:p>
  </w:footnote>
  <w:footnote w:type="continuationSeparator" w:id="0">
    <w:p w14:paraId="432936F3" w14:textId="77777777" w:rsidR="009903A1" w:rsidRDefault="009903A1"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29D9"/>
    <w:rsid w:val="00165A3A"/>
    <w:rsid w:val="00166CCA"/>
    <w:rsid w:val="00172967"/>
    <w:rsid w:val="00172AAE"/>
    <w:rsid w:val="00194708"/>
    <w:rsid w:val="00195FD1"/>
    <w:rsid w:val="00197D66"/>
    <w:rsid w:val="001A1656"/>
    <w:rsid w:val="001A2082"/>
    <w:rsid w:val="001A64C6"/>
    <w:rsid w:val="001A7E5B"/>
    <w:rsid w:val="001B17D5"/>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CD5"/>
    <w:rsid w:val="00252F77"/>
    <w:rsid w:val="002554F6"/>
    <w:rsid w:val="0026759A"/>
    <w:rsid w:val="00272DAB"/>
    <w:rsid w:val="00274B43"/>
    <w:rsid w:val="00275B4B"/>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6783"/>
    <w:rsid w:val="008746F3"/>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903A1"/>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9</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266</cp:revision>
  <cp:lastPrinted>2024-10-08T13:14:00Z</cp:lastPrinted>
  <dcterms:created xsi:type="dcterms:W3CDTF">2024-05-17T10:24:00Z</dcterms:created>
  <dcterms:modified xsi:type="dcterms:W3CDTF">2024-10-09T23:42:00Z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