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1A94CD1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w:t>
      </w:r>
      <w:r w:rsidRPr="00127557">
        <w:rPr>
          <w:rFonts w:ascii="Times New Roman" w:eastAsia="方正书宋简体" w:hAnsi="Times New Roman" w:cs="Times New Roman"/>
          <w:szCs w:val="21"/>
        </w:rPr>
        <w:lastRenderedPageBreak/>
        <w:t>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2.2图像检索</w:t>
      </w:r>
    </w:p>
    <w:p w14:paraId="74B67A6E" w14:textId="76CC6F37"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）技术的兴起，研究者开始利用图像的形状、纹理等低层次特征进行匹配。然而，甲骨文形态复杂且</w:t>
      </w:r>
      <w:r w:rsidR="00A973BA">
        <w:rPr>
          <w:rFonts w:ascii="Times New Roman" w:eastAsia="方正书宋简体" w:hAnsi="Times New Roman" w:cs="Times New Roman" w:hint="eastAsia"/>
          <w:szCs w:val="21"/>
        </w:rPr>
        <w:t>异体字多</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Pr="00127557">
        <w:rPr>
          <w:rFonts w:ascii="Times New Roman" w:eastAsia="方正书宋简体" w:hAnsi="Times New Roman" w:cs="Times New Roman"/>
          <w:szCs w:val="21"/>
        </w:rPr>
        <w:t>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lastRenderedPageBreak/>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77318819" w:rsidR="004F3099" w:rsidRDefault="00F73D11" w:rsidP="000C7EE6">
      <w:pPr>
        <w:pStyle w:val="1"/>
        <w:spacing w:before="120" w:after="120" w:line="240" w:lineRule="auto"/>
        <w:rPr>
          <w:sz w:val="28"/>
          <w:szCs w:val="28"/>
        </w:rPr>
      </w:pPr>
      <w:r w:rsidRPr="001B18F5">
        <w:rPr>
          <w:sz w:val="28"/>
          <w:szCs w:val="28"/>
        </w:rPr>
        <w:t>3</w:t>
      </w:r>
      <w:r w:rsidR="008F5615">
        <w:rPr>
          <w:rFonts w:hint="eastAsia"/>
          <w:sz w:val="28"/>
          <w:szCs w:val="28"/>
        </w:rPr>
        <w:t>研究方法</w:t>
      </w:r>
    </w:p>
    <w:p w14:paraId="423F0BC9" w14:textId="1D585436"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36F3D094"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38A600A1">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4295A04C"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bookmarkStart w:id="1" w:name="_GoBack"/>
      <w:bookmarkEnd w:id="1"/>
    </w:p>
    <w:p w14:paraId="29C2FFE4" w14:textId="0F03D904"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77777777"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013357FC" w14:textId="77777777" w:rsidR="001455FF" w:rsidRPr="001455FF" w:rsidRDefault="001455FF" w:rsidP="001455FF">
      <w:pPr>
        <w:rPr>
          <w:rFonts w:ascii="Times New Roman" w:eastAsia="方正书宋简体" w:hAnsi="Times New Roman" w:cs="Times New Roman" w:hint="eastAsia"/>
          <w:szCs w:val="21"/>
        </w:rPr>
      </w:pPr>
    </w:p>
    <w:p w14:paraId="221AE70B" w14:textId="77777777" w:rsidR="004F3099" w:rsidRPr="001B18F5" w:rsidRDefault="00F73D11" w:rsidP="000C7EE6">
      <w:pPr>
        <w:pStyle w:val="1"/>
        <w:spacing w:before="120" w:after="120" w:line="240" w:lineRule="auto"/>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27C044B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2" w:name="_Hlk176419124"/>
      <w:r w:rsidRPr="00127557">
        <w:rPr>
          <w:rFonts w:ascii="Times New Roman" w:eastAsia="方正书宋简体" w:hAnsi="Times New Roman" w:cs="Times New Roman"/>
          <w:szCs w:val="21"/>
        </w:rPr>
        <w:t>HWOBC</w:t>
      </w:r>
      <w:bookmarkEnd w:id="2"/>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w:t>
      </w:r>
      <w:r w:rsidRPr="00127557">
        <w:rPr>
          <w:rFonts w:ascii="Times New Roman" w:eastAsia="方正书宋简体" w:hAnsi="Times New Roman" w:cs="Times New Roman"/>
          <w:szCs w:val="21"/>
        </w:rPr>
        <w:lastRenderedPageBreak/>
        <w:t>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01957F05" w14:textId="0F37352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FE238A">
        <w:rPr>
          <w:rFonts w:ascii="Times New Roman" w:eastAsia="方正书宋简体" w:hAnsi="Times New Roman" w:cs="Times New Roman" w:hint="eastAsia"/>
          <w:szCs w:val="21"/>
        </w:rPr>
        <w:t>实验</w:t>
      </w:r>
      <w:r w:rsidRPr="00127557">
        <w:rPr>
          <w:rFonts w:ascii="Times New Roman" w:eastAsia="方正书宋简体" w:hAnsi="Times New Roman" w:cs="Times New Roman"/>
          <w:szCs w:val="21"/>
        </w:rPr>
        <w:t>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A5A717D"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1"/>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1"/>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1"/>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1"/>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1"/>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1"/>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1"/>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1"/>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9"/>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0"/>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1"/>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1"/>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2"/>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1"/>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1"/>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0"/>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83106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1"/>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1"/>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1"/>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1"/>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1"/>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1"/>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1E13B6EB" w14:textId="63D9BAD9" w:rsidR="00CA4DED" w:rsidRDefault="00535112" w:rsidP="00535112">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2E1F492" wp14:editId="16D47CB2">
            <wp:extent cx="4597400" cy="2627018"/>
            <wp:effectExtent l="0" t="0" r="0" b="1905"/>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a:blip r:embed="rId81" cstate="print">
                      <a:extLst>
                        <a:ext uri="{28A0092B-C50C-407E-A947-70E740481C1C}">
                          <a14:useLocalDpi xmlns:a14="http://schemas.microsoft.com/office/drawing/2010/main" val="0"/>
                        </a:ext>
                      </a:extLst>
                    </a:blip>
                    <a:stretch>
                      <a:fillRect/>
                    </a:stretch>
                  </pic:blipFill>
                  <pic:spPr>
                    <a:xfrm>
                      <a:off x="0" y="0"/>
                      <a:ext cx="4611127" cy="2634862"/>
                    </a:xfrm>
                    <a:prstGeom prst="rect">
                      <a:avLst/>
                    </a:prstGeom>
                  </pic:spPr>
                </pic:pic>
              </a:graphicData>
            </a:graphic>
          </wp:inline>
        </w:drawing>
      </w:r>
    </w:p>
    <w:p w14:paraId="20CDF67E" w14:textId="18C9630E" w:rsidR="008D6DE0" w:rsidRDefault="008D6DE0"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sidRPr="008D6DE0">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7694A178" w14:textId="29AA5DAB" w:rsidR="00CD2837" w:rsidRPr="00CA4DED" w:rsidRDefault="00CA4DED" w:rsidP="00CA4DED">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3317BEED" w14:textId="19FB9622" w:rsidR="00CA4DED" w:rsidRDefault="0065714C"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3BB4B19" wp14:editId="70721CA8">
            <wp:extent cx="3721100" cy="2790825"/>
            <wp:effectExtent l="0" t="0" r="0" b="9525"/>
            <wp:docPr id="2045415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732" name="图片 2045415732"/>
                    <pic:cNvPicPr/>
                  </pic:nvPicPr>
                  <pic:blipFill>
                    <a:blip r:embed="rId82">
                      <a:extLst>
                        <a:ext uri="{28A0092B-C50C-407E-A947-70E740481C1C}">
                          <a14:useLocalDpi xmlns:a14="http://schemas.microsoft.com/office/drawing/2010/main" val="0"/>
                        </a:ext>
                      </a:extLst>
                    </a:blip>
                    <a:stretch>
                      <a:fillRect/>
                    </a:stretch>
                  </pic:blipFill>
                  <pic:spPr>
                    <a:xfrm>
                      <a:off x="0" y="0"/>
                      <a:ext cx="3725273" cy="2793955"/>
                    </a:xfrm>
                    <a:prstGeom prst="rect">
                      <a:avLst/>
                    </a:prstGeom>
                  </pic:spPr>
                </pic:pic>
              </a:graphicData>
            </a:graphic>
          </wp:inline>
        </w:drawing>
      </w:r>
    </w:p>
    <w:p w14:paraId="6E9C219E" w14:textId="3A28A577" w:rsidR="00CA4DED" w:rsidRDefault="00CA4DED" w:rsidP="00CA4DE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4</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3156DAFE"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CA4DED">
        <w:rPr>
          <w:rFonts w:ascii="Times New Roman" w:eastAsia="方正书宋简体" w:hAnsi="Times New Roman" w:cs="Times New Roman" w:hint="eastAsia"/>
          <w:szCs w:val="21"/>
        </w:rPr>
        <w:t>4</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lastRenderedPageBreak/>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8"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5"/>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4117" w14:textId="77777777" w:rsidR="0048429C" w:rsidRDefault="0048429C" w:rsidP="002A3815">
      <w:r>
        <w:separator/>
      </w:r>
    </w:p>
  </w:endnote>
  <w:endnote w:type="continuationSeparator" w:id="0">
    <w:p w14:paraId="36825B90" w14:textId="77777777" w:rsidR="0048429C" w:rsidRDefault="0048429C"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EE2D1" w14:textId="77777777" w:rsidR="0048429C" w:rsidRDefault="0048429C" w:rsidP="002A3815">
      <w:r>
        <w:separator/>
      </w:r>
    </w:p>
  </w:footnote>
  <w:footnote w:type="continuationSeparator" w:id="0">
    <w:p w14:paraId="103FBC30" w14:textId="77777777" w:rsidR="0048429C" w:rsidRDefault="0048429C"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A3815"/>
    <w:rsid w:val="002A4D58"/>
    <w:rsid w:val="002B076C"/>
    <w:rsid w:val="002F7095"/>
    <w:rsid w:val="003033FB"/>
    <w:rsid w:val="0032003E"/>
    <w:rsid w:val="00320A05"/>
    <w:rsid w:val="0032217E"/>
    <w:rsid w:val="00323F9D"/>
    <w:rsid w:val="00337B6D"/>
    <w:rsid w:val="00347E37"/>
    <w:rsid w:val="0035007C"/>
    <w:rsid w:val="0037301C"/>
    <w:rsid w:val="0039198C"/>
    <w:rsid w:val="003C0984"/>
    <w:rsid w:val="003C1432"/>
    <w:rsid w:val="003D1228"/>
    <w:rsid w:val="003E6DD1"/>
    <w:rsid w:val="004065E4"/>
    <w:rsid w:val="00415B84"/>
    <w:rsid w:val="00417E9D"/>
    <w:rsid w:val="00423ED3"/>
    <w:rsid w:val="004408EF"/>
    <w:rsid w:val="00453F8E"/>
    <w:rsid w:val="004617E9"/>
    <w:rsid w:val="00462A28"/>
    <w:rsid w:val="00472D81"/>
    <w:rsid w:val="00476FE5"/>
    <w:rsid w:val="004833FF"/>
    <w:rsid w:val="0048429C"/>
    <w:rsid w:val="004A4082"/>
    <w:rsid w:val="004A44FE"/>
    <w:rsid w:val="004C1E37"/>
    <w:rsid w:val="004C5E50"/>
    <w:rsid w:val="004F066E"/>
    <w:rsid w:val="004F3099"/>
    <w:rsid w:val="004F37E2"/>
    <w:rsid w:val="00535112"/>
    <w:rsid w:val="005352A1"/>
    <w:rsid w:val="00536C30"/>
    <w:rsid w:val="00541A25"/>
    <w:rsid w:val="00543774"/>
    <w:rsid w:val="00543E1F"/>
    <w:rsid w:val="00551DCD"/>
    <w:rsid w:val="00560A2F"/>
    <w:rsid w:val="00560BB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5714C"/>
    <w:rsid w:val="00664206"/>
    <w:rsid w:val="0066768F"/>
    <w:rsid w:val="00673DFE"/>
    <w:rsid w:val="00692F19"/>
    <w:rsid w:val="006B314E"/>
    <w:rsid w:val="006B53C0"/>
    <w:rsid w:val="006C1EA0"/>
    <w:rsid w:val="006F0A6A"/>
    <w:rsid w:val="006F5CA6"/>
    <w:rsid w:val="007020C4"/>
    <w:rsid w:val="007068E1"/>
    <w:rsid w:val="0071257A"/>
    <w:rsid w:val="00730723"/>
    <w:rsid w:val="00730DE6"/>
    <w:rsid w:val="007357BF"/>
    <w:rsid w:val="007714D5"/>
    <w:rsid w:val="00773AC2"/>
    <w:rsid w:val="00784DED"/>
    <w:rsid w:val="00792363"/>
    <w:rsid w:val="007A0D31"/>
    <w:rsid w:val="007A3367"/>
    <w:rsid w:val="007A4001"/>
    <w:rsid w:val="007B6CB1"/>
    <w:rsid w:val="007C2E44"/>
    <w:rsid w:val="007D00AB"/>
    <w:rsid w:val="007E20F0"/>
    <w:rsid w:val="00805AFD"/>
    <w:rsid w:val="0081430E"/>
    <w:rsid w:val="00823C14"/>
    <w:rsid w:val="0084342B"/>
    <w:rsid w:val="00845B51"/>
    <w:rsid w:val="00857964"/>
    <w:rsid w:val="008579D2"/>
    <w:rsid w:val="00886F52"/>
    <w:rsid w:val="008C7F0C"/>
    <w:rsid w:val="008D6DE0"/>
    <w:rsid w:val="008D7FA7"/>
    <w:rsid w:val="008F22ED"/>
    <w:rsid w:val="008F5615"/>
    <w:rsid w:val="00901E8B"/>
    <w:rsid w:val="00904C3F"/>
    <w:rsid w:val="00907D90"/>
    <w:rsid w:val="00926BE3"/>
    <w:rsid w:val="00934520"/>
    <w:rsid w:val="0095040A"/>
    <w:rsid w:val="00956FBD"/>
    <w:rsid w:val="00976A1B"/>
    <w:rsid w:val="009A3850"/>
    <w:rsid w:val="009C4701"/>
    <w:rsid w:val="009D5904"/>
    <w:rsid w:val="009E22C4"/>
    <w:rsid w:val="009E29F8"/>
    <w:rsid w:val="00A076AA"/>
    <w:rsid w:val="00A141A6"/>
    <w:rsid w:val="00A2132C"/>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D14DB6"/>
    <w:rsid w:val="00D2246B"/>
    <w:rsid w:val="00D45032"/>
    <w:rsid w:val="00D502F8"/>
    <w:rsid w:val="00D5762C"/>
    <w:rsid w:val="00D6130B"/>
    <w:rsid w:val="00D80084"/>
    <w:rsid w:val="00DA38EB"/>
    <w:rsid w:val="00DA3FA7"/>
    <w:rsid w:val="00DA55F0"/>
    <w:rsid w:val="00DA68BF"/>
    <w:rsid w:val="00DB25B4"/>
    <w:rsid w:val="00DC163F"/>
    <w:rsid w:val="00DE54A3"/>
    <w:rsid w:val="00E05C51"/>
    <w:rsid w:val="00E11666"/>
    <w:rsid w:val="00E11792"/>
    <w:rsid w:val="00E23FB9"/>
    <w:rsid w:val="00E27ED7"/>
    <w:rsid w:val="00E27F33"/>
    <w:rsid w:val="00E33878"/>
    <w:rsid w:val="00E5249C"/>
    <w:rsid w:val="00E65605"/>
    <w:rsid w:val="00E76199"/>
    <w:rsid w:val="00E804B7"/>
    <w:rsid w:val="00E8059D"/>
    <w:rsid w:val="00EA5984"/>
    <w:rsid w:val="00ED6B03"/>
    <w:rsid w:val="00F17768"/>
    <w:rsid w:val="00F23CCE"/>
    <w:rsid w:val="00F26E6D"/>
    <w:rsid w:val="00F27C29"/>
    <w:rsid w:val="00F312E2"/>
    <w:rsid w:val="00F337D4"/>
    <w:rsid w:val="00F35F4D"/>
    <w:rsid w:val="00F4227E"/>
    <w:rsid w:val="00F447A3"/>
    <w:rsid w:val="00F45A0D"/>
    <w:rsid w:val="00F509C4"/>
    <w:rsid w:val="00F73D11"/>
    <w:rsid w:val="00F93692"/>
    <w:rsid w:val="00F9395E"/>
    <w:rsid w:val="00F96D42"/>
    <w:rsid w:val="00FA03AC"/>
    <w:rsid w:val="00FA63FB"/>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1B4017-CE83-4D5D-87FA-FC8D745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154</cp:revision>
  <dcterms:created xsi:type="dcterms:W3CDTF">2024-05-17T10:24:00Z</dcterms:created>
  <dcterms:modified xsi:type="dcterms:W3CDTF">2024-09-05T09:19:00Z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