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2F226AB8"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w:t>
      </w:r>
      <w:r w:rsidR="00F27C29">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7EBCF679" w14:textId="33A6F780" w:rsidR="004F3099" w:rsidRPr="00127557" w:rsidRDefault="00F73D11">
      <w:pPr>
        <w:rPr>
          <w:rFonts w:ascii="Times New Roman" w:eastAsia="方正书宋简体" w:hAnsi="Times New Roman" w:cs="Times New Roman" w:hint="eastAsia"/>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sidR="00274B43">
        <w:rPr>
          <w:rFonts w:ascii="Times New Roman" w:eastAsia="方正书宋简体" w:hAnsi="Times New Roman" w:cs="Times New Roman" w:hint="eastAsia"/>
          <w:szCs w:val="21"/>
        </w:rPr>
        <w:t>;</w:t>
      </w:r>
      <w:r w:rsidR="00274B43">
        <w:rPr>
          <w:rFonts w:ascii="Times New Roman" w:eastAsia="方正书宋简体" w:hAnsi="Times New Roman" w:cs="Times New Roman"/>
          <w:szCs w:val="21"/>
        </w:rPr>
        <w:t xml:space="preserve"> </w:t>
      </w:r>
      <w:r w:rsidR="00274B43" w:rsidRPr="00127557">
        <w:rPr>
          <w:rFonts w:ascii="Times New Roman" w:eastAsia="方正书宋简体" w:hAnsi="Times New Roman" w:cs="Times New Roman"/>
          <w:szCs w:val="21"/>
        </w:rPr>
        <w:t>向量数据库</w:t>
      </w:r>
      <w:r w:rsidR="00274B43" w:rsidRPr="00127557">
        <w:rPr>
          <w:rFonts w:ascii="Times New Roman" w:eastAsia="方正书宋简体" w:hAnsi="Times New Roman" w:cs="Times New Roman"/>
          <w:szCs w:val="21"/>
        </w:rPr>
        <w:t>;</w:t>
      </w:r>
      <w:r w:rsidR="00274B43">
        <w:rPr>
          <w:rFonts w:ascii="Times New Roman" w:eastAsia="方正书宋简体" w:hAnsi="Times New Roman" w:cs="Times New Roman" w:hint="eastAsia"/>
          <w:szCs w:val="21"/>
        </w:rPr>
        <w:t xml:space="preserve"> </w:t>
      </w:r>
      <w:r w:rsidR="00274B43" w:rsidRPr="00127557">
        <w:rPr>
          <w:rFonts w:ascii="Times New Roman" w:eastAsia="方正书宋简体" w:hAnsi="Times New Roman" w:cs="Times New Roman"/>
          <w:szCs w:val="21"/>
        </w:rPr>
        <w:t>Milvus</w:t>
      </w:r>
    </w:p>
    <w:p w14:paraId="324870E0" w14:textId="77777777" w:rsidR="004F3099" w:rsidRPr="001B18F5" w:rsidRDefault="00F73D11" w:rsidP="00C67BDE">
      <w:pPr>
        <w:pStyle w:val="1"/>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w:t>
      </w:r>
      <w:r w:rsidRPr="00127557">
        <w:rPr>
          <w:rFonts w:ascii="Times New Roman" w:eastAsia="方正书宋简体" w:hAnsi="Times New Roman" w:cs="Times New Roman"/>
          <w:szCs w:val="21"/>
        </w:rPr>
        <w:lastRenderedPageBreak/>
        <w:t>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1B18F5">
      <w:pPr>
        <w:pStyle w:val="1"/>
        <w:rPr>
          <w:sz w:val="28"/>
          <w:szCs w:val="28"/>
        </w:rPr>
      </w:pPr>
      <w:r w:rsidRPr="001B18F5">
        <w:rPr>
          <w:sz w:val="28"/>
          <w:szCs w:val="28"/>
        </w:rPr>
        <w:t>2相关工作</w:t>
      </w:r>
    </w:p>
    <w:p w14:paraId="29864B9D"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 xml:space="preserve">2.1数据驱动的考古学研究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07D90">
      <w:pPr>
        <w:pStyle w:val="2"/>
        <w:rPr>
          <w:rFonts w:ascii="宋体" w:eastAsia="宋体" w:hAnsi="宋体" w:hint="eastAsia"/>
          <w:sz w:val="24"/>
          <w:szCs w:val="24"/>
        </w:rPr>
      </w:pPr>
      <w:r w:rsidRPr="00907D90">
        <w:rPr>
          <w:rFonts w:ascii="宋体" w:eastAsia="宋体" w:hAnsi="宋体"/>
          <w:sz w:val="24"/>
          <w:szCs w:val="24"/>
        </w:rPr>
        <w:t>2.2图像检索</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2.3 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1AC124" w:rsidR="004F3099" w:rsidRPr="008F22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lastRenderedPageBreak/>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_Ref176359847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73B0582" w14:textId="020C332A" w:rsidR="004F3099" w:rsidRPr="001B18F5" w:rsidRDefault="00F73D11" w:rsidP="001B18F5">
      <w:pPr>
        <w:pStyle w:val="1"/>
        <w:rPr>
          <w:rFonts w:hint="eastAsia"/>
          <w:sz w:val="28"/>
          <w:szCs w:val="28"/>
        </w:rPr>
      </w:pPr>
      <w:r w:rsidRPr="001B18F5">
        <w:rPr>
          <w:sz w:val="28"/>
          <w:szCs w:val="28"/>
        </w:rPr>
        <w:t>3</w:t>
      </w:r>
      <w:bookmarkStart w:id="0" w:name="_GoBack"/>
      <w:bookmarkEnd w:id="0"/>
      <w:r w:rsidR="008F5615">
        <w:rPr>
          <w:rFonts w:hint="eastAsia"/>
          <w:sz w:val="28"/>
          <w:szCs w:val="28"/>
        </w:rPr>
        <w:t>研究方法</w:t>
      </w:r>
    </w:p>
    <w:p w14:paraId="7E4EF176"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1B18F5">
      <w:pPr>
        <w:pStyle w:val="1"/>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1B18F5">
      <w:pPr>
        <w:pStyle w:val="1"/>
        <w:rPr>
          <w:sz w:val="28"/>
          <w:szCs w:val="28"/>
        </w:rPr>
      </w:pPr>
      <w:r w:rsidRPr="001B18F5">
        <w:rPr>
          <w:sz w:val="28"/>
          <w:szCs w:val="28"/>
        </w:rPr>
        <w:t>5实验与</w:t>
      </w:r>
      <w:r w:rsidR="00337B6D">
        <w:rPr>
          <w:rFonts w:hint="eastAsia"/>
          <w:sz w:val="28"/>
          <w:szCs w:val="28"/>
        </w:rPr>
        <w:t>分析</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HWOBC</w:t>
      </w:r>
      <w:bookmarkEnd w:id="1"/>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07D90">
      <w:pPr>
        <w:pStyle w:val="2"/>
        <w:rPr>
          <w:rFonts w:ascii="宋体" w:eastAsia="宋体" w:hAnsi="宋体"/>
          <w:sz w:val="24"/>
          <w:szCs w:val="24"/>
        </w:rPr>
      </w:pPr>
      <w:r w:rsidRPr="00907D90">
        <w:rPr>
          <w:rFonts w:ascii="宋体" w:eastAsia="宋体" w:hAnsi="宋体"/>
          <w:sz w:val="24"/>
          <w:szCs w:val="24"/>
        </w:rPr>
        <w:lastRenderedPageBreak/>
        <w:t>5.3性能评估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ABE940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B18F5" w:rsidRDefault="00F73D11" w:rsidP="001B18F5">
      <w:pPr>
        <w:pStyle w:val="1"/>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7BF8EB07" w:rsidR="004F3099" w:rsidRPr="00127557"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lastRenderedPageBreak/>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proofErr w:type="spellStart"/>
      <w:r w:rsidRPr="00127557">
        <w:t>Xiong</w:t>
      </w:r>
      <w:proofErr w:type="spellEnd"/>
      <w:r w:rsidRPr="00127557">
        <w:t>,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5104"/>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18F5"/>
    <w:rsid w:val="001B5064"/>
    <w:rsid w:val="001F6777"/>
    <w:rsid w:val="00222CB8"/>
    <w:rsid w:val="00233924"/>
    <w:rsid w:val="00274B43"/>
    <w:rsid w:val="00275B4B"/>
    <w:rsid w:val="002865A7"/>
    <w:rsid w:val="002A4D58"/>
    <w:rsid w:val="003033FB"/>
    <w:rsid w:val="0032003E"/>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022C"/>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57964"/>
    <w:rsid w:val="008579D2"/>
    <w:rsid w:val="00886F52"/>
    <w:rsid w:val="008C7F0C"/>
    <w:rsid w:val="008D7FA7"/>
    <w:rsid w:val="008F22ED"/>
    <w:rsid w:val="008F5615"/>
    <w:rsid w:val="00901E8B"/>
    <w:rsid w:val="00904C3F"/>
    <w:rsid w:val="00907D90"/>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67BDE"/>
    <w:rsid w:val="00C73D16"/>
    <w:rsid w:val="00CA2EC9"/>
    <w:rsid w:val="00CB28AA"/>
    <w:rsid w:val="00CB3424"/>
    <w:rsid w:val="00D14DB6"/>
    <w:rsid w:val="00D2246B"/>
    <w:rsid w:val="00D45032"/>
    <w:rsid w:val="00D502F8"/>
    <w:rsid w:val="00D5762C"/>
    <w:rsid w:val="00DA38EB"/>
    <w:rsid w:val="00DA55F0"/>
    <w:rsid w:val="00DB25B4"/>
    <w:rsid w:val="00DC163F"/>
    <w:rsid w:val="00E05C51"/>
    <w:rsid w:val="00E11666"/>
    <w:rsid w:val="00E23FB9"/>
    <w:rsid w:val="00E27ED7"/>
    <w:rsid w:val="00E27F33"/>
    <w:rsid w:val="00E33878"/>
    <w:rsid w:val="00E5249C"/>
    <w:rsid w:val="00E76199"/>
    <w:rsid w:val="00E804B7"/>
    <w:rsid w:val="00E8059D"/>
    <w:rsid w:val="00ED6B03"/>
    <w:rsid w:val="00F17768"/>
    <w:rsid w:val="00F26E6D"/>
    <w:rsid w:val="00F27C29"/>
    <w:rsid w:val="00F312E2"/>
    <w:rsid w:val="00F337D4"/>
    <w:rsid w:val="00F45A0D"/>
    <w:rsid w:val="00F509C4"/>
    <w:rsid w:val="00F73D11"/>
    <w:rsid w:val="00F93692"/>
    <w:rsid w:val="00F9395E"/>
    <w:rsid w:val="00FA03AC"/>
    <w:rsid w:val="00FA63FB"/>
    <w:rsid w:val="00FB70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AD3A44-C830-42F4-8B3A-060495EF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104</cp:revision>
  <dcterms:created xsi:type="dcterms:W3CDTF">2024-05-17T10:24:00Z</dcterms:created>
  <dcterms:modified xsi:type="dcterms:W3CDTF">2024-09-05T01:40:00Z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