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F13DB4" w:rsidRDefault="00E32DE6" w:rsidP="00E32DE6">
      <w:pPr>
        <w:pBdr>
          <w:top w:val="single" w:sz="4" w:space="1" w:color="4F81BD" w:themeColor="accent1"/>
          <w:bottom w:val="single" w:sz="4" w:space="1" w:color="4F81BD" w:themeColor="accent1"/>
        </w:pBdr>
        <w:jc w:val="center"/>
        <w:rPr>
          <w:rFonts w:ascii="Arial" w:hAnsi="Arial" w:cs="Arial"/>
          <w:sz w:val="56"/>
          <w:szCs w:val="56"/>
        </w:rPr>
      </w:pPr>
      <w:r w:rsidRPr="00E32DE6">
        <w:rPr>
          <w:sz w:val="56"/>
          <w:szCs w:val="56"/>
        </w:rPr>
        <w:t>STRUCTUCTURES LEXICO-SYNTAXIQUE</w:t>
      </w:r>
      <w:r w:rsidR="00C23F24">
        <w:rPr>
          <w:sz w:val="56"/>
          <w:szCs w:val="56"/>
        </w:rPr>
        <w:t>S</w:t>
      </w:r>
      <w:r w:rsidRPr="00E32DE6">
        <w:rPr>
          <w:sz w:val="56"/>
          <w:szCs w:val="56"/>
        </w:rPr>
        <w:t xml:space="preserve"> RÉCURRENTES DANS LES TITRES SCIENTIFIQUES</w:t>
      </w:r>
      <w:r w:rsidR="00F13DB4" w:rsidRPr="00F13DB4">
        <w:rPr>
          <w:sz w:val="40"/>
          <w:szCs w:val="56"/>
        </w:rPr>
        <w:t xml:space="preserve"> </w:t>
      </w:r>
      <w:r w:rsidR="00F13DB4">
        <w:rPr>
          <w:sz w:val="56"/>
          <w:szCs w:val="56"/>
        </w:rPr>
        <w:t>APR</w:t>
      </w:r>
      <w:r w:rsidR="00F13DB4" w:rsidRPr="00F13DB4">
        <w:rPr>
          <w:sz w:val="56"/>
          <w:szCs w:val="56"/>
        </w:rPr>
        <w:t>È</w:t>
      </w:r>
      <w:r w:rsidR="00F13DB4">
        <w:rPr>
          <w:sz w:val="56"/>
          <w:szCs w:val="56"/>
        </w:rPr>
        <w:t>S</w:t>
      </w:r>
      <w:r w:rsidR="00F13DB4" w:rsidRPr="004C506D">
        <w:rPr>
          <w:sz w:val="40"/>
          <w:szCs w:val="56"/>
        </w:rPr>
        <w:t xml:space="preserve"> </w:t>
      </w:r>
      <w:r w:rsidR="00F13DB4">
        <w:rPr>
          <w:sz w:val="56"/>
          <w:szCs w:val="56"/>
        </w:rPr>
        <w:t>LE</w:t>
      </w:r>
      <w:r w:rsidR="00F13DB4" w:rsidRPr="004C506D">
        <w:rPr>
          <w:sz w:val="40"/>
          <w:szCs w:val="56"/>
        </w:rPr>
        <w:t xml:space="preserve"> </w:t>
      </w:r>
      <w:r w:rsidR="00F13DB4">
        <w:rPr>
          <w:sz w:val="56"/>
          <w:szCs w:val="56"/>
        </w:rPr>
        <w:t>DOUBLE</w:t>
      </w:r>
      <w:r w:rsidR="00F13DB4" w:rsidRPr="004C506D">
        <w:rPr>
          <w:sz w:val="40"/>
          <w:szCs w:val="56"/>
        </w:rPr>
        <w:t xml:space="preserve"> </w:t>
      </w:r>
      <w:r w:rsidR="00F13DB4">
        <w:rPr>
          <w:sz w:val="56"/>
          <w:szCs w:val="56"/>
        </w:rPr>
        <w:t>POINT</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19867063"/>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Default="00EB2918" w:rsidP="00121EAE">
      <w:pPr>
        <w:ind w:firstLine="708"/>
      </w:pPr>
      <w:r>
        <w:t xml:space="preserve">Et je remercie celle et ceux qui m’ont vu </w:t>
      </w:r>
      <w:r w:rsidR="001F0E2C">
        <w:t>cheminer</w:t>
      </w:r>
      <w:r>
        <w:t xml:space="preserve"> toute l’année au lieu de partager pleinement leurs vies. Qu’il</w:t>
      </w:r>
      <w:r w:rsidR="00C23F24">
        <w:t>s</w:t>
      </w:r>
      <w:r>
        <w:t xml:space="preserve"> me pardonne</w:t>
      </w:r>
      <w:r w:rsidR="00C23F24">
        <w:t>nt</w:t>
      </w:r>
      <w:r w:rsidR="001F0E2C">
        <w:t>, je rentre à la maison</w:t>
      </w:r>
      <w:r>
        <w:t>.</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1D3ED8"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9867063" w:history="1">
            <w:r w:rsidR="001D3ED8" w:rsidRPr="00A83D5A">
              <w:rPr>
                <w:rStyle w:val="Lienhypertexte"/>
                <w:noProof/>
              </w:rPr>
              <w:t>Remerciements</w:t>
            </w:r>
            <w:r w:rsidR="001D3ED8">
              <w:rPr>
                <w:noProof/>
                <w:webHidden/>
              </w:rPr>
              <w:tab/>
            </w:r>
            <w:r w:rsidR="001D3ED8">
              <w:rPr>
                <w:noProof/>
                <w:webHidden/>
              </w:rPr>
              <w:fldChar w:fldCharType="begin"/>
            </w:r>
            <w:r w:rsidR="001D3ED8">
              <w:rPr>
                <w:noProof/>
                <w:webHidden/>
              </w:rPr>
              <w:instrText xml:space="preserve"> PAGEREF _Toc519867063 \h </w:instrText>
            </w:r>
            <w:r w:rsidR="001D3ED8">
              <w:rPr>
                <w:noProof/>
                <w:webHidden/>
              </w:rPr>
            </w:r>
            <w:r w:rsidR="001D3ED8">
              <w:rPr>
                <w:noProof/>
                <w:webHidden/>
              </w:rPr>
              <w:fldChar w:fldCharType="separate"/>
            </w:r>
            <w:r w:rsidR="001D3ED8">
              <w:rPr>
                <w:noProof/>
                <w:webHidden/>
              </w:rPr>
              <w:t>3</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64" w:history="1">
            <w:r w:rsidR="001D3ED8" w:rsidRPr="00A83D5A">
              <w:rPr>
                <w:rStyle w:val="Lienhypertexte"/>
                <w:noProof/>
              </w:rPr>
              <w:t>Introduction</w:t>
            </w:r>
            <w:r w:rsidR="001D3ED8">
              <w:rPr>
                <w:noProof/>
                <w:webHidden/>
              </w:rPr>
              <w:tab/>
            </w:r>
            <w:r w:rsidR="001D3ED8">
              <w:rPr>
                <w:noProof/>
                <w:webHidden/>
              </w:rPr>
              <w:fldChar w:fldCharType="begin"/>
            </w:r>
            <w:r w:rsidR="001D3ED8">
              <w:rPr>
                <w:noProof/>
                <w:webHidden/>
              </w:rPr>
              <w:instrText xml:space="preserve"> PAGEREF _Toc519867064 \h </w:instrText>
            </w:r>
            <w:r w:rsidR="001D3ED8">
              <w:rPr>
                <w:noProof/>
                <w:webHidden/>
              </w:rPr>
            </w:r>
            <w:r w:rsidR="001D3ED8">
              <w:rPr>
                <w:noProof/>
                <w:webHidden/>
              </w:rPr>
              <w:fldChar w:fldCharType="separate"/>
            </w:r>
            <w:r w:rsidR="001D3ED8">
              <w:rPr>
                <w:noProof/>
                <w:webHidden/>
              </w:rPr>
              <w:t>6</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65" w:history="1">
            <w:r w:rsidR="001D3ED8" w:rsidRPr="00A83D5A">
              <w:rPr>
                <w:rStyle w:val="Lienhypertexte"/>
                <w:noProof/>
              </w:rPr>
              <w:t>I. Les titres scientifiques</w:t>
            </w:r>
            <w:r w:rsidR="001D3ED8">
              <w:rPr>
                <w:noProof/>
                <w:webHidden/>
              </w:rPr>
              <w:tab/>
            </w:r>
            <w:r w:rsidR="001D3ED8">
              <w:rPr>
                <w:noProof/>
                <w:webHidden/>
              </w:rPr>
              <w:fldChar w:fldCharType="begin"/>
            </w:r>
            <w:r w:rsidR="001D3ED8">
              <w:rPr>
                <w:noProof/>
                <w:webHidden/>
              </w:rPr>
              <w:instrText xml:space="preserve"> PAGEREF _Toc519867065 \h </w:instrText>
            </w:r>
            <w:r w:rsidR="001D3ED8">
              <w:rPr>
                <w:noProof/>
                <w:webHidden/>
              </w:rPr>
            </w:r>
            <w:r w:rsidR="001D3ED8">
              <w:rPr>
                <w:noProof/>
                <w:webHidden/>
              </w:rPr>
              <w:fldChar w:fldCharType="separate"/>
            </w:r>
            <w:r w:rsidR="001D3ED8">
              <w:rPr>
                <w:noProof/>
                <w:webHidden/>
              </w:rPr>
              <w:t>7</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66" w:history="1">
            <w:r w:rsidR="001D3ED8" w:rsidRPr="00A83D5A">
              <w:rPr>
                <w:rStyle w:val="Lienhypertexte"/>
                <w:noProof/>
              </w:rPr>
              <w:t>I.1 Problématiques étudiées</w:t>
            </w:r>
            <w:r w:rsidR="001D3ED8">
              <w:rPr>
                <w:noProof/>
                <w:webHidden/>
              </w:rPr>
              <w:tab/>
            </w:r>
            <w:r w:rsidR="001D3ED8">
              <w:rPr>
                <w:noProof/>
                <w:webHidden/>
              </w:rPr>
              <w:fldChar w:fldCharType="begin"/>
            </w:r>
            <w:r w:rsidR="001D3ED8">
              <w:rPr>
                <w:noProof/>
                <w:webHidden/>
              </w:rPr>
              <w:instrText xml:space="preserve"> PAGEREF _Toc519867066 \h </w:instrText>
            </w:r>
            <w:r w:rsidR="001D3ED8">
              <w:rPr>
                <w:noProof/>
                <w:webHidden/>
              </w:rPr>
            </w:r>
            <w:r w:rsidR="001D3ED8">
              <w:rPr>
                <w:noProof/>
                <w:webHidden/>
              </w:rPr>
              <w:fldChar w:fldCharType="separate"/>
            </w:r>
            <w:r w:rsidR="001D3ED8">
              <w:rPr>
                <w:noProof/>
                <w:webHidden/>
              </w:rPr>
              <w:t>7</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67" w:history="1">
            <w:r w:rsidR="001D3ED8" w:rsidRPr="00A83D5A">
              <w:rPr>
                <w:rStyle w:val="Lienhypertexte"/>
                <w:noProof/>
              </w:rPr>
              <w:t>I.2 Corpus utilisés</w:t>
            </w:r>
            <w:r w:rsidR="001D3ED8">
              <w:rPr>
                <w:noProof/>
                <w:webHidden/>
              </w:rPr>
              <w:tab/>
            </w:r>
            <w:r w:rsidR="001D3ED8">
              <w:rPr>
                <w:noProof/>
                <w:webHidden/>
              </w:rPr>
              <w:fldChar w:fldCharType="begin"/>
            </w:r>
            <w:r w:rsidR="001D3ED8">
              <w:rPr>
                <w:noProof/>
                <w:webHidden/>
              </w:rPr>
              <w:instrText xml:space="preserve"> PAGEREF _Toc519867067 \h </w:instrText>
            </w:r>
            <w:r w:rsidR="001D3ED8">
              <w:rPr>
                <w:noProof/>
                <w:webHidden/>
              </w:rPr>
            </w:r>
            <w:r w:rsidR="001D3ED8">
              <w:rPr>
                <w:noProof/>
                <w:webHidden/>
              </w:rPr>
              <w:fldChar w:fldCharType="separate"/>
            </w:r>
            <w:r w:rsidR="001D3ED8">
              <w:rPr>
                <w:noProof/>
                <w:webHidden/>
              </w:rPr>
              <w:t>7</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68" w:history="1">
            <w:r w:rsidR="001D3ED8" w:rsidRPr="00A83D5A">
              <w:rPr>
                <w:rStyle w:val="Lienhypertexte"/>
                <w:noProof/>
              </w:rPr>
              <w:t>I.3 Caractéristiques des titres</w:t>
            </w:r>
            <w:r w:rsidR="001D3ED8">
              <w:rPr>
                <w:noProof/>
                <w:webHidden/>
              </w:rPr>
              <w:tab/>
            </w:r>
            <w:r w:rsidR="001D3ED8">
              <w:rPr>
                <w:noProof/>
                <w:webHidden/>
              </w:rPr>
              <w:fldChar w:fldCharType="begin"/>
            </w:r>
            <w:r w:rsidR="001D3ED8">
              <w:rPr>
                <w:noProof/>
                <w:webHidden/>
              </w:rPr>
              <w:instrText xml:space="preserve"> PAGEREF _Toc519867068 \h </w:instrText>
            </w:r>
            <w:r w:rsidR="001D3ED8">
              <w:rPr>
                <w:noProof/>
                <w:webHidden/>
              </w:rPr>
            </w:r>
            <w:r w:rsidR="001D3ED8">
              <w:rPr>
                <w:noProof/>
                <w:webHidden/>
              </w:rPr>
              <w:fldChar w:fldCharType="separate"/>
            </w:r>
            <w:r w:rsidR="001D3ED8">
              <w:rPr>
                <w:noProof/>
                <w:webHidden/>
              </w:rPr>
              <w:t>7</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69" w:history="1">
            <w:r w:rsidR="001D3ED8" w:rsidRPr="00A83D5A">
              <w:rPr>
                <w:rStyle w:val="Lienhypertexte"/>
                <w:noProof/>
              </w:rPr>
              <w:t>I.4 Typologies des titres</w:t>
            </w:r>
            <w:r w:rsidR="001D3ED8">
              <w:rPr>
                <w:noProof/>
                <w:webHidden/>
              </w:rPr>
              <w:tab/>
            </w:r>
            <w:r w:rsidR="001D3ED8">
              <w:rPr>
                <w:noProof/>
                <w:webHidden/>
              </w:rPr>
              <w:fldChar w:fldCharType="begin"/>
            </w:r>
            <w:r w:rsidR="001D3ED8">
              <w:rPr>
                <w:noProof/>
                <w:webHidden/>
              </w:rPr>
              <w:instrText xml:space="preserve"> PAGEREF _Toc519867069 \h </w:instrText>
            </w:r>
            <w:r w:rsidR="001D3ED8">
              <w:rPr>
                <w:noProof/>
                <w:webHidden/>
              </w:rPr>
            </w:r>
            <w:r w:rsidR="001D3ED8">
              <w:rPr>
                <w:noProof/>
                <w:webHidden/>
              </w:rPr>
              <w:fldChar w:fldCharType="separate"/>
            </w:r>
            <w:r w:rsidR="001D3ED8">
              <w:rPr>
                <w:noProof/>
                <w:webHidden/>
              </w:rPr>
              <w:t>7</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70" w:history="1">
            <w:r w:rsidR="001D3ED8" w:rsidRPr="00A83D5A">
              <w:rPr>
                <w:rStyle w:val="Lienhypertexte"/>
                <w:noProof/>
              </w:rPr>
              <w:t>II. Corpus de travail</w:t>
            </w:r>
            <w:r w:rsidR="001D3ED8">
              <w:rPr>
                <w:noProof/>
                <w:webHidden/>
              </w:rPr>
              <w:tab/>
            </w:r>
            <w:r w:rsidR="001D3ED8">
              <w:rPr>
                <w:noProof/>
                <w:webHidden/>
              </w:rPr>
              <w:fldChar w:fldCharType="begin"/>
            </w:r>
            <w:r w:rsidR="001D3ED8">
              <w:rPr>
                <w:noProof/>
                <w:webHidden/>
              </w:rPr>
              <w:instrText xml:space="preserve"> PAGEREF _Toc519867070 \h </w:instrText>
            </w:r>
            <w:r w:rsidR="001D3ED8">
              <w:rPr>
                <w:noProof/>
                <w:webHidden/>
              </w:rPr>
            </w:r>
            <w:r w:rsidR="001D3ED8">
              <w:rPr>
                <w:noProof/>
                <w:webHidden/>
              </w:rPr>
              <w:fldChar w:fldCharType="separate"/>
            </w:r>
            <w:r w:rsidR="001D3ED8">
              <w:rPr>
                <w:noProof/>
                <w:webHidden/>
              </w:rPr>
              <w:t>7</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71" w:history="1">
            <w:r w:rsidR="001D3ED8" w:rsidRPr="00A83D5A">
              <w:rPr>
                <w:rStyle w:val="Lienhypertexte"/>
                <w:noProof/>
              </w:rPr>
              <w:t>II.1 Présentation de HAL et extraction des données</w:t>
            </w:r>
            <w:r w:rsidR="001D3ED8">
              <w:rPr>
                <w:noProof/>
                <w:webHidden/>
              </w:rPr>
              <w:tab/>
            </w:r>
            <w:r w:rsidR="001D3ED8">
              <w:rPr>
                <w:noProof/>
                <w:webHidden/>
              </w:rPr>
              <w:fldChar w:fldCharType="begin"/>
            </w:r>
            <w:r w:rsidR="001D3ED8">
              <w:rPr>
                <w:noProof/>
                <w:webHidden/>
              </w:rPr>
              <w:instrText xml:space="preserve"> PAGEREF _Toc519867071 \h </w:instrText>
            </w:r>
            <w:r w:rsidR="001D3ED8">
              <w:rPr>
                <w:noProof/>
                <w:webHidden/>
              </w:rPr>
            </w:r>
            <w:r w:rsidR="001D3ED8">
              <w:rPr>
                <w:noProof/>
                <w:webHidden/>
              </w:rPr>
              <w:fldChar w:fldCharType="separate"/>
            </w:r>
            <w:r w:rsidR="001D3ED8">
              <w:rPr>
                <w:noProof/>
                <w:webHidden/>
              </w:rPr>
              <w:t>7</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72" w:history="1">
            <w:r w:rsidR="001D3ED8" w:rsidRPr="00A83D5A">
              <w:rPr>
                <w:rStyle w:val="Lienhypertexte"/>
                <w:noProof/>
              </w:rPr>
              <w:t>II.2 Traitement des données et exemples</w:t>
            </w:r>
            <w:r w:rsidR="001D3ED8">
              <w:rPr>
                <w:noProof/>
                <w:webHidden/>
              </w:rPr>
              <w:tab/>
            </w:r>
            <w:r w:rsidR="001D3ED8">
              <w:rPr>
                <w:noProof/>
                <w:webHidden/>
              </w:rPr>
              <w:fldChar w:fldCharType="begin"/>
            </w:r>
            <w:r w:rsidR="001D3ED8">
              <w:rPr>
                <w:noProof/>
                <w:webHidden/>
              </w:rPr>
              <w:instrText xml:space="preserve"> PAGEREF _Toc519867072 \h </w:instrText>
            </w:r>
            <w:r w:rsidR="001D3ED8">
              <w:rPr>
                <w:noProof/>
                <w:webHidden/>
              </w:rPr>
            </w:r>
            <w:r w:rsidR="001D3ED8">
              <w:rPr>
                <w:noProof/>
                <w:webHidden/>
              </w:rPr>
              <w:fldChar w:fldCharType="separate"/>
            </w:r>
            <w:r w:rsidR="001D3ED8">
              <w:rPr>
                <w:noProof/>
                <w:webHidden/>
              </w:rPr>
              <w:t>9</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73" w:history="1">
            <w:r w:rsidR="001D3ED8" w:rsidRPr="00A83D5A">
              <w:rPr>
                <w:rStyle w:val="Lienhypertexte"/>
                <w:noProof/>
              </w:rPr>
              <w:t>A) Enrichissement des données</w:t>
            </w:r>
            <w:r w:rsidR="001D3ED8">
              <w:rPr>
                <w:noProof/>
                <w:webHidden/>
              </w:rPr>
              <w:tab/>
            </w:r>
            <w:r w:rsidR="001D3ED8">
              <w:rPr>
                <w:noProof/>
                <w:webHidden/>
              </w:rPr>
              <w:fldChar w:fldCharType="begin"/>
            </w:r>
            <w:r w:rsidR="001D3ED8">
              <w:rPr>
                <w:noProof/>
                <w:webHidden/>
              </w:rPr>
              <w:instrText xml:space="preserve"> PAGEREF _Toc519867073 \h </w:instrText>
            </w:r>
            <w:r w:rsidR="001D3ED8">
              <w:rPr>
                <w:noProof/>
                <w:webHidden/>
              </w:rPr>
            </w:r>
            <w:r w:rsidR="001D3ED8">
              <w:rPr>
                <w:noProof/>
                <w:webHidden/>
              </w:rPr>
              <w:fldChar w:fldCharType="separate"/>
            </w:r>
            <w:r w:rsidR="001D3ED8">
              <w:rPr>
                <w:noProof/>
                <w:webHidden/>
              </w:rPr>
              <w:t>9</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74" w:history="1">
            <w:r w:rsidR="001D3ED8" w:rsidRPr="00A83D5A">
              <w:rPr>
                <w:rStyle w:val="Lienhypertexte"/>
                <w:noProof/>
              </w:rPr>
              <w:t>B) Conversions</w:t>
            </w:r>
            <w:r w:rsidR="001D3ED8">
              <w:rPr>
                <w:noProof/>
                <w:webHidden/>
              </w:rPr>
              <w:tab/>
            </w:r>
            <w:r w:rsidR="001D3ED8">
              <w:rPr>
                <w:noProof/>
                <w:webHidden/>
              </w:rPr>
              <w:fldChar w:fldCharType="begin"/>
            </w:r>
            <w:r w:rsidR="001D3ED8">
              <w:rPr>
                <w:noProof/>
                <w:webHidden/>
              </w:rPr>
              <w:instrText xml:space="preserve"> PAGEREF _Toc519867074 \h </w:instrText>
            </w:r>
            <w:r w:rsidR="001D3ED8">
              <w:rPr>
                <w:noProof/>
                <w:webHidden/>
              </w:rPr>
            </w:r>
            <w:r w:rsidR="001D3ED8">
              <w:rPr>
                <w:noProof/>
                <w:webHidden/>
              </w:rPr>
              <w:fldChar w:fldCharType="separate"/>
            </w:r>
            <w:r w:rsidR="001D3ED8">
              <w:rPr>
                <w:noProof/>
                <w:webHidden/>
              </w:rPr>
              <w:t>9</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75" w:history="1">
            <w:r w:rsidR="001D3ED8" w:rsidRPr="00A83D5A">
              <w:rPr>
                <w:rStyle w:val="Lienhypertexte"/>
                <w:noProof/>
              </w:rPr>
              <w:t>C) Filtrage</w:t>
            </w:r>
            <w:r w:rsidR="001D3ED8">
              <w:rPr>
                <w:noProof/>
                <w:webHidden/>
              </w:rPr>
              <w:tab/>
            </w:r>
            <w:r w:rsidR="001D3ED8">
              <w:rPr>
                <w:noProof/>
                <w:webHidden/>
              </w:rPr>
              <w:fldChar w:fldCharType="begin"/>
            </w:r>
            <w:r w:rsidR="001D3ED8">
              <w:rPr>
                <w:noProof/>
                <w:webHidden/>
              </w:rPr>
              <w:instrText xml:space="preserve"> PAGEREF _Toc519867075 \h </w:instrText>
            </w:r>
            <w:r w:rsidR="001D3ED8">
              <w:rPr>
                <w:noProof/>
                <w:webHidden/>
              </w:rPr>
            </w:r>
            <w:r w:rsidR="001D3ED8">
              <w:rPr>
                <w:noProof/>
                <w:webHidden/>
              </w:rPr>
              <w:fldChar w:fldCharType="separate"/>
            </w:r>
            <w:r w:rsidR="001D3ED8">
              <w:rPr>
                <w:noProof/>
                <w:webHidden/>
              </w:rPr>
              <w:t>11</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76" w:history="1">
            <w:r w:rsidR="001D3ED8" w:rsidRPr="00A83D5A">
              <w:rPr>
                <w:rStyle w:val="Lienhypertexte"/>
                <w:noProof/>
              </w:rPr>
              <w:t>II.3 Constations et exemples</w:t>
            </w:r>
            <w:r w:rsidR="001D3ED8">
              <w:rPr>
                <w:noProof/>
                <w:webHidden/>
              </w:rPr>
              <w:tab/>
            </w:r>
            <w:r w:rsidR="001D3ED8">
              <w:rPr>
                <w:noProof/>
                <w:webHidden/>
              </w:rPr>
              <w:fldChar w:fldCharType="begin"/>
            </w:r>
            <w:r w:rsidR="001D3ED8">
              <w:rPr>
                <w:noProof/>
                <w:webHidden/>
              </w:rPr>
              <w:instrText xml:space="preserve"> PAGEREF _Toc519867076 \h </w:instrText>
            </w:r>
            <w:r w:rsidR="001D3ED8">
              <w:rPr>
                <w:noProof/>
                <w:webHidden/>
              </w:rPr>
            </w:r>
            <w:r w:rsidR="001D3ED8">
              <w:rPr>
                <w:noProof/>
                <w:webHidden/>
              </w:rPr>
              <w:fldChar w:fldCharType="separate"/>
            </w:r>
            <w:r w:rsidR="001D3ED8">
              <w:rPr>
                <w:noProof/>
                <w:webHidden/>
              </w:rPr>
              <w:t>13</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77" w:history="1">
            <w:r w:rsidR="001D3ED8" w:rsidRPr="00A83D5A">
              <w:rPr>
                <w:rStyle w:val="Lienhypertexte"/>
                <w:noProof/>
              </w:rPr>
              <w:t>II.3.1 Caractéristiques de nos corpus</w:t>
            </w:r>
            <w:r w:rsidR="001D3ED8">
              <w:rPr>
                <w:noProof/>
                <w:webHidden/>
              </w:rPr>
              <w:tab/>
            </w:r>
            <w:r w:rsidR="001D3ED8">
              <w:rPr>
                <w:noProof/>
                <w:webHidden/>
              </w:rPr>
              <w:fldChar w:fldCharType="begin"/>
            </w:r>
            <w:r w:rsidR="001D3ED8">
              <w:rPr>
                <w:noProof/>
                <w:webHidden/>
              </w:rPr>
              <w:instrText xml:space="preserve"> PAGEREF _Toc519867077 \h </w:instrText>
            </w:r>
            <w:r w:rsidR="001D3ED8">
              <w:rPr>
                <w:noProof/>
                <w:webHidden/>
              </w:rPr>
            </w:r>
            <w:r w:rsidR="001D3ED8">
              <w:rPr>
                <w:noProof/>
                <w:webHidden/>
              </w:rPr>
              <w:fldChar w:fldCharType="separate"/>
            </w:r>
            <w:r w:rsidR="001D3ED8">
              <w:rPr>
                <w:noProof/>
                <w:webHidden/>
              </w:rPr>
              <w:t>13</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78" w:history="1">
            <w:r w:rsidR="001D3ED8" w:rsidRPr="00A83D5A">
              <w:rPr>
                <w:rStyle w:val="Lienhypertexte"/>
                <w:noProof/>
              </w:rPr>
              <w:t>II.3.2 Connexions avec les autres études</w:t>
            </w:r>
            <w:r w:rsidR="001D3ED8">
              <w:rPr>
                <w:noProof/>
                <w:webHidden/>
              </w:rPr>
              <w:tab/>
            </w:r>
            <w:r w:rsidR="001D3ED8">
              <w:rPr>
                <w:noProof/>
                <w:webHidden/>
              </w:rPr>
              <w:fldChar w:fldCharType="begin"/>
            </w:r>
            <w:r w:rsidR="001D3ED8">
              <w:rPr>
                <w:noProof/>
                <w:webHidden/>
              </w:rPr>
              <w:instrText xml:space="preserve"> PAGEREF _Toc519867078 \h </w:instrText>
            </w:r>
            <w:r w:rsidR="001D3ED8">
              <w:rPr>
                <w:noProof/>
                <w:webHidden/>
              </w:rPr>
            </w:r>
            <w:r w:rsidR="001D3ED8">
              <w:rPr>
                <w:noProof/>
                <w:webHidden/>
              </w:rPr>
              <w:fldChar w:fldCharType="separate"/>
            </w:r>
            <w:r w:rsidR="001D3ED8">
              <w:rPr>
                <w:noProof/>
                <w:webHidden/>
              </w:rPr>
              <w:t>15</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79" w:history="1">
            <w:r w:rsidR="001D3ED8" w:rsidRPr="00A83D5A">
              <w:rPr>
                <w:rStyle w:val="Lienhypertexte"/>
                <w:rFonts w:eastAsia="Times New Roman"/>
                <w:noProof/>
              </w:rPr>
              <w:t>II.3.3 Quelques exemples de titres</w:t>
            </w:r>
            <w:r w:rsidR="001D3ED8">
              <w:rPr>
                <w:noProof/>
                <w:webHidden/>
              </w:rPr>
              <w:tab/>
            </w:r>
            <w:r w:rsidR="001D3ED8">
              <w:rPr>
                <w:noProof/>
                <w:webHidden/>
              </w:rPr>
              <w:fldChar w:fldCharType="begin"/>
            </w:r>
            <w:r w:rsidR="001D3ED8">
              <w:rPr>
                <w:noProof/>
                <w:webHidden/>
              </w:rPr>
              <w:instrText xml:space="preserve"> PAGEREF _Toc519867079 \h </w:instrText>
            </w:r>
            <w:r w:rsidR="001D3ED8">
              <w:rPr>
                <w:noProof/>
                <w:webHidden/>
              </w:rPr>
            </w:r>
            <w:r w:rsidR="001D3ED8">
              <w:rPr>
                <w:noProof/>
                <w:webHidden/>
              </w:rPr>
              <w:fldChar w:fldCharType="separate"/>
            </w:r>
            <w:r w:rsidR="001D3ED8">
              <w:rPr>
                <w:noProof/>
                <w:webHidden/>
              </w:rPr>
              <w:t>18</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80" w:history="1">
            <w:r w:rsidR="001D3ED8" w:rsidRPr="00A83D5A">
              <w:rPr>
                <w:rStyle w:val="Lienhypertexte"/>
                <w:noProof/>
              </w:rPr>
              <w:t>III. Syntagmes et patrons</w:t>
            </w:r>
            <w:r w:rsidR="001D3ED8">
              <w:rPr>
                <w:noProof/>
                <w:webHidden/>
              </w:rPr>
              <w:tab/>
            </w:r>
            <w:r w:rsidR="001D3ED8">
              <w:rPr>
                <w:noProof/>
                <w:webHidden/>
              </w:rPr>
              <w:fldChar w:fldCharType="begin"/>
            </w:r>
            <w:r w:rsidR="001D3ED8">
              <w:rPr>
                <w:noProof/>
                <w:webHidden/>
              </w:rPr>
              <w:instrText xml:space="preserve"> PAGEREF _Toc519867080 \h </w:instrText>
            </w:r>
            <w:r w:rsidR="001D3ED8">
              <w:rPr>
                <w:noProof/>
                <w:webHidden/>
              </w:rPr>
            </w:r>
            <w:r w:rsidR="001D3ED8">
              <w:rPr>
                <w:noProof/>
                <w:webHidden/>
              </w:rPr>
              <w:fldChar w:fldCharType="separate"/>
            </w:r>
            <w:r w:rsidR="001D3ED8">
              <w:rPr>
                <w:noProof/>
                <w:webHidden/>
              </w:rPr>
              <w:t>19</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81" w:history="1">
            <w:r w:rsidR="001D3ED8" w:rsidRPr="00A83D5A">
              <w:rPr>
                <w:rStyle w:val="Lienhypertexte"/>
                <w:noProof/>
              </w:rPr>
              <w:t>III.1 Rappel sur les syntagmes</w:t>
            </w:r>
            <w:r w:rsidR="001D3ED8">
              <w:rPr>
                <w:noProof/>
                <w:webHidden/>
              </w:rPr>
              <w:tab/>
            </w:r>
            <w:r w:rsidR="001D3ED8">
              <w:rPr>
                <w:noProof/>
                <w:webHidden/>
              </w:rPr>
              <w:fldChar w:fldCharType="begin"/>
            </w:r>
            <w:r w:rsidR="001D3ED8">
              <w:rPr>
                <w:noProof/>
                <w:webHidden/>
              </w:rPr>
              <w:instrText xml:space="preserve"> PAGEREF _Toc519867081 \h </w:instrText>
            </w:r>
            <w:r w:rsidR="001D3ED8">
              <w:rPr>
                <w:noProof/>
                <w:webHidden/>
              </w:rPr>
            </w:r>
            <w:r w:rsidR="001D3ED8">
              <w:rPr>
                <w:noProof/>
                <w:webHidden/>
              </w:rPr>
              <w:fldChar w:fldCharType="separate"/>
            </w:r>
            <w:r w:rsidR="001D3ED8">
              <w:rPr>
                <w:noProof/>
                <w:webHidden/>
              </w:rPr>
              <w:t>19</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82" w:history="1">
            <w:r w:rsidR="001D3ED8" w:rsidRPr="00A83D5A">
              <w:rPr>
                <w:rStyle w:val="Lienhypertexte"/>
                <w:noProof/>
              </w:rPr>
              <w:t>III.2 Limites de notre étude</w:t>
            </w:r>
            <w:r w:rsidR="001D3ED8">
              <w:rPr>
                <w:noProof/>
                <w:webHidden/>
              </w:rPr>
              <w:tab/>
            </w:r>
            <w:r w:rsidR="001D3ED8">
              <w:rPr>
                <w:noProof/>
                <w:webHidden/>
              </w:rPr>
              <w:fldChar w:fldCharType="begin"/>
            </w:r>
            <w:r w:rsidR="001D3ED8">
              <w:rPr>
                <w:noProof/>
                <w:webHidden/>
              </w:rPr>
              <w:instrText xml:space="preserve"> PAGEREF _Toc519867082 \h </w:instrText>
            </w:r>
            <w:r w:rsidR="001D3ED8">
              <w:rPr>
                <w:noProof/>
                <w:webHidden/>
              </w:rPr>
            </w:r>
            <w:r w:rsidR="001D3ED8">
              <w:rPr>
                <w:noProof/>
                <w:webHidden/>
              </w:rPr>
              <w:fldChar w:fldCharType="separate"/>
            </w:r>
            <w:r w:rsidR="001D3ED8">
              <w:rPr>
                <w:noProof/>
                <w:webHidden/>
              </w:rPr>
              <w:t>20</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83" w:history="1">
            <w:r w:rsidR="001D3ED8" w:rsidRPr="00A83D5A">
              <w:rPr>
                <w:rStyle w:val="Lienhypertexte"/>
                <w:noProof/>
              </w:rPr>
              <w:t>III.3 Définition des patrons</w:t>
            </w:r>
            <w:r w:rsidR="001D3ED8">
              <w:rPr>
                <w:noProof/>
                <w:webHidden/>
              </w:rPr>
              <w:tab/>
            </w:r>
            <w:r w:rsidR="001D3ED8">
              <w:rPr>
                <w:noProof/>
                <w:webHidden/>
              </w:rPr>
              <w:fldChar w:fldCharType="begin"/>
            </w:r>
            <w:r w:rsidR="001D3ED8">
              <w:rPr>
                <w:noProof/>
                <w:webHidden/>
              </w:rPr>
              <w:instrText xml:space="preserve"> PAGEREF _Toc519867083 \h </w:instrText>
            </w:r>
            <w:r w:rsidR="001D3ED8">
              <w:rPr>
                <w:noProof/>
                <w:webHidden/>
              </w:rPr>
            </w:r>
            <w:r w:rsidR="001D3ED8">
              <w:rPr>
                <w:noProof/>
                <w:webHidden/>
              </w:rPr>
              <w:fldChar w:fldCharType="separate"/>
            </w:r>
            <w:r w:rsidR="001D3ED8">
              <w:rPr>
                <w:noProof/>
                <w:webHidden/>
              </w:rPr>
              <w:t>21</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84" w:history="1">
            <w:r w:rsidR="001D3ED8" w:rsidRPr="00A83D5A">
              <w:rPr>
                <w:rStyle w:val="Lienhypertexte"/>
                <w:noProof/>
              </w:rPr>
              <w:t>III.4 Construction itérative de trois patrons</w:t>
            </w:r>
            <w:r w:rsidR="001D3ED8">
              <w:rPr>
                <w:noProof/>
                <w:webHidden/>
              </w:rPr>
              <w:tab/>
            </w:r>
            <w:r w:rsidR="001D3ED8">
              <w:rPr>
                <w:noProof/>
                <w:webHidden/>
              </w:rPr>
              <w:fldChar w:fldCharType="begin"/>
            </w:r>
            <w:r w:rsidR="001D3ED8">
              <w:rPr>
                <w:noProof/>
                <w:webHidden/>
              </w:rPr>
              <w:instrText xml:space="preserve"> PAGEREF _Toc519867084 \h </w:instrText>
            </w:r>
            <w:r w:rsidR="001D3ED8">
              <w:rPr>
                <w:noProof/>
                <w:webHidden/>
              </w:rPr>
            </w:r>
            <w:r w:rsidR="001D3ED8">
              <w:rPr>
                <w:noProof/>
                <w:webHidden/>
              </w:rPr>
              <w:fldChar w:fldCharType="separate"/>
            </w:r>
            <w:r w:rsidR="001D3ED8">
              <w:rPr>
                <w:noProof/>
                <w:webHidden/>
              </w:rPr>
              <w:t>22</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85" w:history="1">
            <w:r w:rsidR="001D3ED8" w:rsidRPr="00A83D5A">
              <w:rPr>
                <w:rStyle w:val="Lienhypertexte"/>
                <w:noProof/>
              </w:rPr>
              <w:t>IV. Études des trois patrons</w:t>
            </w:r>
            <w:r w:rsidR="001D3ED8">
              <w:rPr>
                <w:noProof/>
                <w:webHidden/>
              </w:rPr>
              <w:tab/>
            </w:r>
            <w:r w:rsidR="001D3ED8">
              <w:rPr>
                <w:noProof/>
                <w:webHidden/>
              </w:rPr>
              <w:fldChar w:fldCharType="begin"/>
            </w:r>
            <w:r w:rsidR="001D3ED8">
              <w:rPr>
                <w:noProof/>
                <w:webHidden/>
              </w:rPr>
              <w:instrText xml:space="preserve"> PAGEREF _Toc519867085 \h </w:instrText>
            </w:r>
            <w:r w:rsidR="001D3ED8">
              <w:rPr>
                <w:noProof/>
                <w:webHidden/>
              </w:rPr>
            </w:r>
            <w:r w:rsidR="001D3ED8">
              <w:rPr>
                <w:noProof/>
                <w:webHidden/>
              </w:rPr>
              <w:fldChar w:fldCharType="separate"/>
            </w:r>
            <w:r w:rsidR="001D3ED8">
              <w:rPr>
                <w:noProof/>
                <w:webHidden/>
              </w:rPr>
              <w:t>24</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86" w:history="1">
            <w:r w:rsidR="001D3ED8" w:rsidRPr="00A83D5A">
              <w:rPr>
                <w:rStyle w:val="Lienhypertexte"/>
                <w:noProof/>
              </w:rPr>
              <w:t>IV.1 Patron n°1 : syntagme nominal</w:t>
            </w:r>
            <w:r w:rsidR="001D3ED8">
              <w:rPr>
                <w:noProof/>
                <w:webHidden/>
              </w:rPr>
              <w:tab/>
            </w:r>
            <w:r w:rsidR="001D3ED8">
              <w:rPr>
                <w:noProof/>
                <w:webHidden/>
              </w:rPr>
              <w:fldChar w:fldCharType="begin"/>
            </w:r>
            <w:r w:rsidR="001D3ED8">
              <w:rPr>
                <w:noProof/>
                <w:webHidden/>
              </w:rPr>
              <w:instrText xml:space="preserve"> PAGEREF _Toc519867086 \h </w:instrText>
            </w:r>
            <w:r w:rsidR="001D3ED8">
              <w:rPr>
                <w:noProof/>
                <w:webHidden/>
              </w:rPr>
            </w:r>
            <w:r w:rsidR="001D3ED8">
              <w:rPr>
                <w:noProof/>
                <w:webHidden/>
              </w:rPr>
              <w:fldChar w:fldCharType="separate"/>
            </w:r>
            <w:r w:rsidR="001D3ED8">
              <w:rPr>
                <w:noProof/>
                <w:webHidden/>
              </w:rPr>
              <w:t>24</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87" w:history="1">
            <w:r w:rsidR="001D3ED8" w:rsidRPr="00A83D5A">
              <w:rPr>
                <w:rStyle w:val="Lienhypertexte"/>
                <w:noProof/>
              </w:rPr>
              <w:t>IV.1.A Fiche d’identité</w:t>
            </w:r>
            <w:r w:rsidR="001D3ED8">
              <w:rPr>
                <w:noProof/>
                <w:webHidden/>
              </w:rPr>
              <w:tab/>
            </w:r>
            <w:r w:rsidR="001D3ED8">
              <w:rPr>
                <w:noProof/>
                <w:webHidden/>
              </w:rPr>
              <w:fldChar w:fldCharType="begin"/>
            </w:r>
            <w:r w:rsidR="001D3ED8">
              <w:rPr>
                <w:noProof/>
                <w:webHidden/>
              </w:rPr>
              <w:instrText xml:space="preserve"> PAGEREF _Toc519867087 \h </w:instrText>
            </w:r>
            <w:r w:rsidR="001D3ED8">
              <w:rPr>
                <w:noProof/>
                <w:webHidden/>
              </w:rPr>
            </w:r>
            <w:r w:rsidR="001D3ED8">
              <w:rPr>
                <w:noProof/>
                <w:webHidden/>
              </w:rPr>
              <w:fldChar w:fldCharType="separate"/>
            </w:r>
            <w:r w:rsidR="001D3ED8">
              <w:rPr>
                <w:noProof/>
                <w:webHidden/>
              </w:rPr>
              <w:t>24</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88" w:history="1">
            <w:r w:rsidR="001D3ED8" w:rsidRPr="00A83D5A">
              <w:rPr>
                <w:rStyle w:val="Lienhypertexte"/>
                <w:noProof/>
              </w:rPr>
              <w:t>IV.2 Patron n°2 : syntagme prépositionnel</w:t>
            </w:r>
            <w:r w:rsidR="001D3ED8">
              <w:rPr>
                <w:noProof/>
                <w:webHidden/>
              </w:rPr>
              <w:tab/>
            </w:r>
            <w:r w:rsidR="001D3ED8">
              <w:rPr>
                <w:noProof/>
                <w:webHidden/>
              </w:rPr>
              <w:fldChar w:fldCharType="begin"/>
            </w:r>
            <w:r w:rsidR="001D3ED8">
              <w:rPr>
                <w:noProof/>
                <w:webHidden/>
              </w:rPr>
              <w:instrText xml:space="preserve"> PAGEREF _Toc519867088 \h </w:instrText>
            </w:r>
            <w:r w:rsidR="001D3ED8">
              <w:rPr>
                <w:noProof/>
                <w:webHidden/>
              </w:rPr>
            </w:r>
            <w:r w:rsidR="001D3ED8">
              <w:rPr>
                <w:noProof/>
                <w:webHidden/>
              </w:rPr>
              <w:fldChar w:fldCharType="separate"/>
            </w:r>
            <w:r w:rsidR="001D3ED8">
              <w:rPr>
                <w:noProof/>
                <w:webHidden/>
              </w:rPr>
              <w:t>24</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89" w:history="1">
            <w:r w:rsidR="001D3ED8" w:rsidRPr="00A83D5A">
              <w:rPr>
                <w:rStyle w:val="Lienhypertexte"/>
                <w:noProof/>
              </w:rPr>
              <w:t>IV.2.A Fiche d’identité</w:t>
            </w:r>
            <w:r w:rsidR="001D3ED8">
              <w:rPr>
                <w:noProof/>
                <w:webHidden/>
              </w:rPr>
              <w:tab/>
            </w:r>
            <w:r w:rsidR="001D3ED8">
              <w:rPr>
                <w:noProof/>
                <w:webHidden/>
              </w:rPr>
              <w:fldChar w:fldCharType="begin"/>
            </w:r>
            <w:r w:rsidR="001D3ED8">
              <w:rPr>
                <w:noProof/>
                <w:webHidden/>
              </w:rPr>
              <w:instrText xml:space="preserve"> PAGEREF _Toc519867089 \h </w:instrText>
            </w:r>
            <w:r w:rsidR="001D3ED8">
              <w:rPr>
                <w:noProof/>
                <w:webHidden/>
              </w:rPr>
            </w:r>
            <w:r w:rsidR="001D3ED8">
              <w:rPr>
                <w:noProof/>
                <w:webHidden/>
              </w:rPr>
              <w:fldChar w:fldCharType="separate"/>
            </w:r>
            <w:r w:rsidR="001D3ED8">
              <w:rPr>
                <w:noProof/>
                <w:webHidden/>
              </w:rPr>
              <w:t>24</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90" w:history="1">
            <w:r w:rsidR="001D3ED8" w:rsidRPr="00A83D5A">
              <w:rPr>
                <w:rStyle w:val="Lienhypertexte"/>
                <w:noProof/>
              </w:rPr>
              <w:t>IV.3 Patron n°3 : syntagme verbal</w:t>
            </w:r>
            <w:r w:rsidR="001D3ED8">
              <w:rPr>
                <w:noProof/>
                <w:webHidden/>
              </w:rPr>
              <w:tab/>
            </w:r>
            <w:r w:rsidR="001D3ED8">
              <w:rPr>
                <w:noProof/>
                <w:webHidden/>
              </w:rPr>
              <w:fldChar w:fldCharType="begin"/>
            </w:r>
            <w:r w:rsidR="001D3ED8">
              <w:rPr>
                <w:noProof/>
                <w:webHidden/>
              </w:rPr>
              <w:instrText xml:space="preserve"> PAGEREF _Toc519867090 \h </w:instrText>
            </w:r>
            <w:r w:rsidR="001D3ED8">
              <w:rPr>
                <w:noProof/>
                <w:webHidden/>
              </w:rPr>
            </w:r>
            <w:r w:rsidR="001D3ED8">
              <w:rPr>
                <w:noProof/>
                <w:webHidden/>
              </w:rPr>
              <w:fldChar w:fldCharType="separate"/>
            </w:r>
            <w:r w:rsidR="001D3ED8">
              <w:rPr>
                <w:noProof/>
                <w:webHidden/>
              </w:rPr>
              <w:t>25</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91" w:history="1">
            <w:r w:rsidR="001D3ED8" w:rsidRPr="00A83D5A">
              <w:rPr>
                <w:rStyle w:val="Lienhypertexte"/>
                <w:noProof/>
              </w:rPr>
              <w:t>IV.2.A Fiche d’identité</w:t>
            </w:r>
            <w:r w:rsidR="001D3ED8">
              <w:rPr>
                <w:noProof/>
                <w:webHidden/>
              </w:rPr>
              <w:tab/>
            </w:r>
            <w:r w:rsidR="001D3ED8">
              <w:rPr>
                <w:noProof/>
                <w:webHidden/>
              </w:rPr>
              <w:fldChar w:fldCharType="begin"/>
            </w:r>
            <w:r w:rsidR="001D3ED8">
              <w:rPr>
                <w:noProof/>
                <w:webHidden/>
              </w:rPr>
              <w:instrText xml:space="preserve"> PAGEREF _Toc519867091 \h </w:instrText>
            </w:r>
            <w:r w:rsidR="001D3ED8">
              <w:rPr>
                <w:noProof/>
                <w:webHidden/>
              </w:rPr>
            </w:r>
            <w:r w:rsidR="001D3ED8">
              <w:rPr>
                <w:noProof/>
                <w:webHidden/>
              </w:rPr>
              <w:fldChar w:fldCharType="separate"/>
            </w:r>
            <w:r w:rsidR="001D3ED8">
              <w:rPr>
                <w:noProof/>
                <w:webHidden/>
              </w:rPr>
              <w:t>25</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92" w:history="1">
            <w:r w:rsidR="001D3ED8" w:rsidRPr="00A83D5A">
              <w:rPr>
                <w:rStyle w:val="Lienhypertexte"/>
                <w:noProof/>
              </w:rPr>
              <w:t>IV.2.B Exemples</w:t>
            </w:r>
            <w:r w:rsidR="001D3ED8">
              <w:rPr>
                <w:noProof/>
                <w:webHidden/>
              </w:rPr>
              <w:tab/>
            </w:r>
            <w:r w:rsidR="001D3ED8">
              <w:rPr>
                <w:noProof/>
                <w:webHidden/>
              </w:rPr>
              <w:fldChar w:fldCharType="begin"/>
            </w:r>
            <w:r w:rsidR="001D3ED8">
              <w:rPr>
                <w:noProof/>
                <w:webHidden/>
              </w:rPr>
              <w:instrText xml:space="preserve"> PAGEREF _Toc519867092 \h </w:instrText>
            </w:r>
            <w:r w:rsidR="001D3ED8">
              <w:rPr>
                <w:noProof/>
                <w:webHidden/>
              </w:rPr>
            </w:r>
            <w:r w:rsidR="001D3ED8">
              <w:rPr>
                <w:noProof/>
                <w:webHidden/>
              </w:rPr>
              <w:fldChar w:fldCharType="separate"/>
            </w:r>
            <w:r w:rsidR="001D3ED8">
              <w:rPr>
                <w:noProof/>
                <w:webHidden/>
              </w:rPr>
              <w:t>25</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093" w:history="1">
            <w:r w:rsidR="001D3ED8" w:rsidRPr="00A83D5A">
              <w:rPr>
                <w:rStyle w:val="Lienhypertexte"/>
                <w:noProof/>
              </w:rPr>
              <w:t>IV.2.C Statistiques</w:t>
            </w:r>
            <w:r w:rsidR="001D3ED8">
              <w:rPr>
                <w:noProof/>
                <w:webHidden/>
              </w:rPr>
              <w:tab/>
            </w:r>
            <w:r w:rsidR="001D3ED8">
              <w:rPr>
                <w:noProof/>
                <w:webHidden/>
              </w:rPr>
              <w:fldChar w:fldCharType="begin"/>
            </w:r>
            <w:r w:rsidR="001D3ED8">
              <w:rPr>
                <w:noProof/>
                <w:webHidden/>
              </w:rPr>
              <w:instrText xml:space="preserve"> PAGEREF _Toc519867093 \h </w:instrText>
            </w:r>
            <w:r w:rsidR="001D3ED8">
              <w:rPr>
                <w:noProof/>
                <w:webHidden/>
              </w:rPr>
            </w:r>
            <w:r w:rsidR="001D3ED8">
              <w:rPr>
                <w:noProof/>
                <w:webHidden/>
              </w:rPr>
              <w:fldChar w:fldCharType="separate"/>
            </w:r>
            <w:r w:rsidR="001D3ED8">
              <w:rPr>
                <w:noProof/>
                <w:webHidden/>
              </w:rPr>
              <w:t>25</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94" w:history="1">
            <w:r w:rsidR="001D3ED8" w:rsidRPr="00A83D5A">
              <w:rPr>
                <w:rStyle w:val="Lienhypertexte"/>
                <w:noProof/>
              </w:rPr>
              <w:t>V. Étude de structures particulières</w:t>
            </w:r>
            <w:r w:rsidR="001D3ED8">
              <w:rPr>
                <w:noProof/>
                <w:webHidden/>
              </w:rPr>
              <w:tab/>
            </w:r>
            <w:r w:rsidR="001D3ED8">
              <w:rPr>
                <w:noProof/>
                <w:webHidden/>
              </w:rPr>
              <w:fldChar w:fldCharType="begin"/>
            </w:r>
            <w:r w:rsidR="001D3ED8">
              <w:rPr>
                <w:noProof/>
                <w:webHidden/>
              </w:rPr>
              <w:instrText xml:space="preserve"> PAGEREF _Toc519867094 \h </w:instrText>
            </w:r>
            <w:r w:rsidR="001D3ED8">
              <w:rPr>
                <w:noProof/>
                <w:webHidden/>
              </w:rPr>
            </w:r>
            <w:r w:rsidR="001D3ED8">
              <w:rPr>
                <w:noProof/>
                <w:webHidden/>
              </w:rPr>
              <w:fldChar w:fldCharType="separate"/>
            </w:r>
            <w:r w:rsidR="001D3ED8">
              <w:rPr>
                <w:noProof/>
                <w:webHidden/>
              </w:rPr>
              <w:t>26</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95" w:history="1">
            <w:r w:rsidR="001D3ED8" w:rsidRPr="00A83D5A">
              <w:rPr>
                <w:rStyle w:val="Lienhypertexte"/>
                <w:noProof/>
              </w:rPr>
              <w:t>VI. Résultats et discussions</w:t>
            </w:r>
            <w:r w:rsidR="001D3ED8">
              <w:rPr>
                <w:noProof/>
                <w:webHidden/>
              </w:rPr>
              <w:tab/>
            </w:r>
            <w:r w:rsidR="001D3ED8">
              <w:rPr>
                <w:noProof/>
                <w:webHidden/>
              </w:rPr>
              <w:fldChar w:fldCharType="begin"/>
            </w:r>
            <w:r w:rsidR="001D3ED8">
              <w:rPr>
                <w:noProof/>
                <w:webHidden/>
              </w:rPr>
              <w:instrText xml:space="preserve"> PAGEREF _Toc519867095 \h </w:instrText>
            </w:r>
            <w:r w:rsidR="001D3ED8">
              <w:rPr>
                <w:noProof/>
                <w:webHidden/>
              </w:rPr>
            </w:r>
            <w:r w:rsidR="001D3ED8">
              <w:rPr>
                <w:noProof/>
                <w:webHidden/>
              </w:rPr>
              <w:fldChar w:fldCharType="separate"/>
            </w:r>
            <w:r w:rsidR="001D3ED8">
              <w:rPr>
                <w:noProof/>
                <w:webHidden/>
              </w:rPr>
              <w:t>26</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96" w:history="1">
            <w:r w:rsidR="001D3ED8" w:rsidRPr="00A83D5A">
              <w:rPr>
                <w:rStyle w:val="Lienhypertexte"/>
                <w:noProof/>
              </w:rPr>
              <w:t>VI.1 Résultats</w:t>
            </w:r>
            <w:r w:rsidR="001D3ED8">
              <w:rPr>
                <w:noProof/>
                <w:webHidden/>
              </w:rPr>
              <w:tab/>
            </w:r>
            <w:r w:rsidR="001D3ED8">
              <w:rPr>
                <w:noProof/>
                <w:webHidden/>
              </w:rPr>
              <w:fldChar w:fldCharType="begin"/>
            </w:r>
            <w:r w:rsidR="001D3ED8">
              <w:rPr>
                <w:noProof/>
                <w:webHidden/>
              </w:rPr>
              <w:instrText xml:space="preserve"> PAGEREF _Toc519867096 \h </w:instrText>
            </w:r>
            <w:r w:rsidR="001D3ED8">
              <w:rPr>
                <w:noProof/>
                <w:webHidden/>
              </w:rPr>
            </w:r>
            <w:r w:rsidR="001D3ED8">
              <w:rPr>
                <w:noProof/>
                <w:webHidden/>
              </w:rPr>
              <w:fldChar w:fldCharType="separate"/>
            </w:r>
            <w:r w:rsidR="001D3ED8">
              <w:rPr>
                <w:noProof/>
                <w:webHidden/>
              </w:rPr>
              <w:t>26</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097" w:history="1">
            <w:r w:rsidR="001D3ED8" w:rsidRPr="00A83D5A">
              <w:rPr>
                <w:rStyle w:val="Lienhypertexte"/>
                <w:noProof/>
              </w:rPr>
              <w:t>VI.2 Discussions</w:t>
            </w:r>
            <w:r w:rsidR="001D3ED8">
              <w:rPr>
                <w:noProof/>
                <w:webHidden/>
              </w:rPr>
              <w:tab/>
            </w:r>
            <w:r w:rsidR="001D3ED8">
              <w:rPr>
                <w:noProof/>
                <w:webHidden/>
              </w:rPr>
              <w:fldChar w:fldCharType="begin"/>
            </w:r>
            <w:r w:rsidR="001D3ED8">
              <w:rPr>
                <w:noProof/>
                <w:webHidden/>
              </w:rPr>
              <w:instrText xml:space="preserve"> PAGEREF _Toc519867097 \h </w:instrText>
            </w:r>
            <w:r w:rsidR="001D3ED8">
              <w:rPr>
                <w:noProof/>
                <w:webHidden/>
              </w:rPr>
            </w:r>
            <w:r w:rsidR="001D3ED8">
              <w:rPr>
                <w:noProof/>
                <w:webHidden/>
              </w:rPr>
              <w:fldChar w:fldCharType="separate"/>
            </w:r>
            <w:r w:rsidR="001D3ED8">
              <w:rPr>
                <w:noProof/>
                <w:webHidden/>
              </w:rPr>
              <w:t>26</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98" w:history="1">
            <w:r w:rsidR="001D3ED8" w:rsidRPr="00A83D5A">
              <w:rPr>
                <w:rStyle w:val="Lienhypertexte"/>
                <w:noProof/>
              </w:rPr>
              <w:t>Conclusion</w:t>
            </w:r>
            <w:r w:rsidR="001D3ED8">
              <w:rPr>
                <w:noProof/>
                <w:webHidden/>
              </w:rPr>
              <w:tab/>
            </w:r>
            <w:r w:rsidR="001D3ED8">
              <w:rPr>
                <w:noProof/>
                <w:webHidden/>
              </w:rPr>
              <w:fldChar w:fldCharType="begin"/>
            </w:r>
            <w:r w:rsidR="001D3ED8">
              <w:rPr>
                <w:noProof/>
                <w:webHidden/>
              </w:rPr>
              <w:instrText xml:space="preserve"> PAGEREF _Toc519867098 \h </w:instrText>
            </w:r>
            <w:r w:rsidR="001D3ED8">
              <w:rPr>
                <w:noProof/>
                <w:webHidden/>
              </w:rPr>
            </w:r>
            <w:r w:rsidR="001D3ED8">
              <w:rPr>
                <w:noProof/>
                <w:webHidden/>
              </w:rPr>
              <w:fldChar w:fldCharType="separate"/>
            </w:r>
            <w:r w:rsidR="001D3ED8">
              <w:rPr>
                <w:noProof/>
                <w:webHidden/>
              </w:rPr>
              <w:t>26</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099" w:history="1">
            <w:r w:rsidR="001D3ED8" w:rsidRPr="00A83D5A">
              <w:rPr>
                <w:rStyle w:val="Lienhypertexte"/>
                <w:noProof/>
                <w:lang w:val="en-US"/>
              </w:rPr>
              <w:t>Bibliographie</w:t>
            </w:r>
            <w:r w:rsidR="001D3ED8">
              <w:rPr>
                <w:noProof/>
                <w:webHidden/>
              </w:rPr>
              <w:tab/>
            </w:r>
            <w:r w:rsidR="001D3ED8">
              <w:rPr>
                <w:noProof/>
                <w:webHidden/>
              </w:rPr>
              <w:fldChar w:fldCharType="begin"/>
            </w:r>
            <w:r w:rsidR="001D3ED8">
              <w:rPr>
                <w:noProof/>
                <w:webHidden/>
              </w:rPr>
              <w:instrText xml:space="preserve"> PAGEREF _Toc519867099 \h </w:instrText>
            </w:r>
            <w:r w:rsidR="001D3ED8">
              <w:rPr>
                <w:noProof/>
                <w:webHidden/>
              </w:rPr>
            </w:r>
            <w:r w:rsidR="001D3ED8">
              <w:rPr>
                <w:noProof/>
                <w:webHidden/>
              </w:rPr>
              <w:fldChar w:fldCharType="separate"/>
            </w:r>
            <w:r w:rsidR="001D3ED8">
              <w:rPr>
                <w:noProof/>
                <w:webHidden/>
              </w:rPr>
              <w:t>27</w:t>
            </w:r>
            <w:r w:rsidR="001D3ED8">
              <w:rPr>
                <w:noProof/>
                <w:webHidden/>
              </w:rPr>
              <w:fldChar w:fldCharType="end"/>
            </w:r>
          </w:hyperlink>
        </w:p>
        <w:p w:rsidR="001D3ED8" w:rsidRDefault="007C56FF">
          <w:pPr>
            <w:pStyle w:val="TM1"/>
            <w:tabs>
              <w:tab w:val="right" w:leader="dot" w:pos="9062"/>
            </w:tabs>
            <w:rPr>
              <w:rFonts w:eastAsiaTheme="minorEastAsia"/>
              <w:noProof/>
              <w:lang w:eastAsia="fr-FR"/>
            </w:rPr>
          </w:pPr>
          <w:hyperlink w:anchor="_Toc519867100" w:history="1">
            <w:r w:rsidR="001D3ED8" w:rsidRPr="00A83D5A">
              <w:rPr>
                <w:rStyle w:val="Lienhypertexte"/>
                <w:noProof/>
              </w:rPr>
              <w:t>Annexes</w:t>
            </w:r>
            <w:r w:rsidR="001D3ED8">
              <w:rPr>
                <w:noProof/>
                <w:webHidden/>
              </w:rPr>
              <w:tab/>
            </w:r>
            <w:r w:rsidR="001D3ED8">
              <w:rPr>
                <w:noProof/>
                <w:webHidden/>
              </w:rPr>
              <w:fldChar w:fldCharType="begin"/>
            </w:r>
            <w:r w:rsidR="001D3ED8">
              <w:rPr>
                <w:noProof/>
                <w:webHidden/>
              </w:rPr>
              <w:instrText xml:space="preserve"> PAGEREF _Toc519867100 \h </w:instrText>
            </w:r>
            <w:r w:rsidR="001D3ED8">
              <w:rPr>
                <w:noProof/>
                <w:webHidden/>
              </w:rPr>
            </w:r>
            <w:r w:rsidR="001D3ED8">
              <w:rPr>
                <w:noProof/>
                <w:webHidden/>
              </w:rPr>
              <w:fldChar w:fldCharType="separate"/>
            </w:r>
            <w:r w:rsidR="001D3ED8">
              <w:rPr>
                <w:noProof/>
                <w:webHidden/>
              </w:rPr>
              <w:t>28</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101" w:history="1">
            <w:r w:rsidR="001D3ED8" w:rsidRPr="00A83D5A">
              <w:rPr>
                <w:rStyle w:val="Lienhypertexte"/>
                <w:noProof/>
              </w:rPr>
              <w:t>A1. Requêtes Apache Solr sur HAL</w:t>
            </w:r>
            <w:r w:rsidR="001D3ED8">
              <w:rPr>
                <w:noProof/>
                <w:webHidden/>
              </w:rPr>
              <w:tab/>
            </w:r>
            <w:r w:rsidR="001D3ED8">
              <w:rPr>
                <w:noProof/>
                <w:webHidden/>
              </w:rPr>
              <w:fldChar w:fldCharType="begin"/>
            </w:r>
            <w:r w:rsidR="001D3ED8">
              <w:rPr>
                <w:noProof/>
                <w:webHidden/>
              </w:rPr>
              <w:instrText xml:space="preserve"> PAGEREF _Toc519867101 \h </w:instrText>
            </w:r>
            <w:r w:rsidR="001D3ED8">
              <w:rPr>
                <w:noProof/>
                <w:webHidden/>
              </w:rPr>
            </w:r>
            <w:r w:rsidR="001D3ED8">
              <w:rPr>
                <w:noProof/>
                <w:webHidden/>
              </w:rPr>
              <w:fldChar w:fldCharType="separate"/>
            </w:r>
            <w:r w:rsidR="001D3ED8">
              <w:rPr>
                <w:noProof/>
                <w:webHidden/>
              </w:rPr>
              <w:t>28</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102" w:history="1">
            <w:r w:rsidR="001D3ED8" w:rsidRPr="00A83D5A">
              <w:rPr>
                <w:rStyle w:val="Lienhypertexte"/>
                <w:noProof/>
              </w:rPr>
              <w:t>A1.A Requêtes</w:t>
            </w:r>
            <w:r w:rsidR="001D3ED8">
              <w:rPr>
                <w:noProof/>
                <w:webHidden/>
              </w:rPr>
              <w:tab/>
            </w:r>
            <w:r w:rsidR="001D3ED8">
              <w:rPr>
                <w:noProof/>
                <w:webHidden/>
              </w:rPr>
              <w:fldChar w:fldCharType="begin"/>
            </w:r>
            <w:r w:rsidR="001D3ED8">
              <w:rPr>
                <w:noProof/>
                <w:webHidden/>
              </w:rPr>
              <w:instrText xml:space="preserve"> PAGEREF _Toc519867102 \h </w:instrText>
            </w:r>
            <w:r w:rsidR="001D3ED8">
              <w:rPr>
                <w:noProof/>
                <w:webHidden/>
              </w:rPr>
            </w:r>
            <w:r w:rsidR="001D3ED8">
              <w:rPr>
                <w:noProof/>
                <w:webHidden/>
              </w:rPr>
              <w:fldChar w:fldCharType="separate"/>
            </w:r>
            <w:r w:rsidR="001D3ED8">
              <w:rPr>
                <w:noProof/>
                <w:webHidden/>
              </w:rPr>
              <w:t>28</w:t>
            </w:r>
            <w:r w:rsidR="001D3ED8">
              <w:rPr>
                <w:noProof/>
                <w:webHidden/>
              </w:rPr>
              <w:fldChar w:fldCharType="end"/>
            </w:r>
          </w:hyperlink>
        </w:p>
        <w:p w:rsidR="001D3ED8" w:rsidRDefault="007C56FF">
          <w:pPr>
            <w:pStyle w:val="TM3"/>
            <w:tabs>
              <w:tab w:val="right" w:leader="dot" w:pos="9062"/>
            </w:tabs>
            <w:rPr>
              <w:rFonts w:eastAsiaTheme="minorEastAsia"/>
              <w:noProof/>
              <w:lang w:eastAsia="fr-FR"/>
            </w:rPr>
          </w:pPr>
          <w:hyperlink w:anchor="_Toc519867103" w:history="1">
            <w:r w:rsidR="001D3ED8" w:rsidRPr="00A83D5A">
              <w:rPr>
                <w:rStyle w:val="Lienhypertexte"/>
                <w:rFonts w:eastAsia="Times New Roman"/>
                <w:noProof/>
              </w:rPr>
              <w:t>A1.B Résultats</w:t>
            </w:r>
            <w:r w:rsidR="001D3ED8">
              <w:rPr>
                <w:noProof/>
                <w:webHidden/>
              </w:rPr>
              <w:tab/>
            </w:r>
            <w:r w:rsidR="001D3ED8">
              <w:rPr>
                <w:noProof/>
                <w:webHidden/>
              </w:rPr>
              <w:fldChar w:fldCharType="begin"/>
            </w:r>
            <w:r w:rsidR="001D3ED8">
              <w:rPr>
                <w:noProof/>
                <w:webHidden/>
              </w:rPr>
              <w:instrText xml:space="preserve"> PAGEREF _Toc519867103 \h </w:instrText>
            </w:r>
            <w:r w:rsidR="001D3ED8">
              <w:rPr>
                <w:noProof/>
                <w:webHidden/>
              </w:rPr>
            </w:r>
            <w:r w:rsidR="001D3ED8">
              <w:rPr>
                <w:noProof/>
                <w:webHidden/>
              </w:rPr>
              <w:fldChar w:fldCharType="separate"/>
            </w:r>
            <w:r w:rsidR="001D3ED8">
              <w:rPr>
                <w:noProof/>
                <w:webHidden/>
              </w:rPr>
              <w:t>28</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104" w:history="1">
            <w:r w:rsidR="001D3ED8" w:rsidRPr="00A83D5A">
              <w:rPr>
                <w:rStyle w:val="Lienhypertexte"/>
                <w:noProof/>
              </w:rPr>
              <w:t>AX. Index des logiciels et technologies mentionnés</w:t>
            </w:r>
            <w:r w:rsidR="001D3ED8">
              <w:rPr>
                <w:noProof/>
                <w:webHidden/>
              </w:rPr>
              <w:tab/>
            </w:r>
            <w:r w:rsidR="001D3ED8">
              <w:rPr>
                <w:noProof/>
                <w:webHidden/>
              </w:rPr>
              <w:fldChar w:fldCharType="begin"/>
            </w:r>
            <w:r w:rsidR="001D3ED8">
              <w:rPr>
                <w:noProof/>
                <w:webHidden/>
              </w:rPr>
              <w:instrText xml:space="preserve"> PAGEREF _Toc519867104 \h </w:instrText>
            </w:r>
            <w:r w:rsidR="001D3ED8">
              <w:rPr>
                <w:noProof/>
                <w:webHidden/>
              </w:rPr>
            </w:r>
            <w:r w:rsidR="001D3ED8">
              <w:rPr>
                <w:noProof/>
                <w:webHidden/>
              </w:rPr>
              <w:fldChar w:fldCharType="separate"/>
            </w:r>
            <w:r w:rsidR="001D3ED8">
              <w:rPr>
                <w:noProof/>
                <w:webHidden/>
              </w:rPr>
              <w:t>29</w:t>
            </w:r>
            <w:r w:rsidR="001D3ED8">
              <w:rPr>
                <w:noProof/>
                <w:webHidden/>
              </w:rPr>
              <w:fldChar w:fldCharType="end"/>
            </w:r>
          </w:hyperlink>
        </w:p>
        <w:p w:rsidR="001D3ED8" w:rsidRDefault="007C56FF">
          <w:pPr>
            <w:pStyle w:val="TM2"/>
            <w:tabs>
              <w:tab w:val="right" w:leader="dot" w:pos="9062"/>
            </w:tabs>
            <w:rPr>
              <w:rFonts w:eastAsiaTheme="minorEastAsia"/>
              <w:noProof/>
              <w:lang w:eastAsia="fr-FR"/>
            </w:rPr>
          </w:pPr>
          <w:hyperlink w:anchor="_Toc519867105" w:history="1">
            <w:r w:rsidR="001D3ED8" w:rsidRPr="00A83D5A">
              <w:rPr>
                <w:rStyle w:val="Lienhypertexte"/>
                <w:noProof/>
              </w:rPr>
              <w:t>AY. Codes des étiquettes de catégorie de discours de Talismane</w:t>
            </w:r>
            <w:r w:rsidR="001D3ED8">
              <w:rPr>
                <w:noProof/>
                <w:webHidden/>
              </w:rPr>
              <w:tab/>
            </w:r>
            <w:r w:rsidR="001D3ED8">
              <w:rPr>
                <w:noProof/>
                <w:webHidden/>
              </w:rPr>
              <w:fldChar w:fldCharType="begin"/>
            </w:r>
            <w:r w:rsidR="001D3ED8">
              <w:rPr>
                <w:noProof/>
                <w:webHidden/>
              </w:rPr>
              <w:instrText xml:space="preserve"> PAGEREF _Toc519867105 \h </w:instrText>
            </w:r>
            <w:r w:rsidR="001D3ED8">
              <w:rPr>
                <w:noProof/>
                <w:webHidden/>
              </w:rPr>
            </w:r>
            <w:r w:rsidR="001D3ED8">
              <w:rPr>
                <w:noProof/>
                <w:webHidden/>
              </w:rPr>
              <w:fldChar w:fldCharType="separate"/>
            </w:r>
            <w:r w:rsidR="001D3ED8">
              <w:rPr>
                <w:noProof/>
                <w:webHidden/>
              </w:rPr>
              <w:t>30</w:t>
            </w:r>
            <w:r w:rsidR="001D3ED8">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19867064"/>
      <w:r>
        <w:lastRenderedPageBreak/>
        <w:t>Introduction</w:t>
      </w:r>
      <w:bookmarkEnd w:id="1"/>
    </w:p>
    <w:p w:rsidR="00F10E54" w:rsidRPr="00F10E54" w:rsidRDefault="00F10E54" w:rsidP="00F10E54">
      <w:pPr>
        <w:keepNext/>
        <w:framePr w:dropCap="drop" w:lines="3" w:wrap="around" w:vAnchor="text" w:hAnchor="text"/>
        <w:spacing w:after="0" w:line="1526" w:lineRule="exact"/>
        <w:ind w:firstLine="708"/>
        <w:textAlignment w:val="baseline"/>
        <w:rPr>
          <w:sz w:val="173"/>
        </w:rPr>
      </w:pPr>
      <w:r>
        <w:rPr>
          <w:sz w:val="173"/>
        </w:rPr>
        <w:t>A</w:t>
      </w:r>
    </w:p>
    <w:p w:rsidR="000160A7" w:rsidRDefault="005104F1" w:rsidP="00F10E54">
      <w:r>
        <w:t>A</w:t>
      </w:r>
      <w:r w:rsidR="00F10E54">
        <w:t>a</w:t>
      </w:r>
      <w:r>
        <w:t xml:space="preserve"> thème, problématique, organisation</w:t>
      </w:r>
      <w:r w:rsidR="00BA1075">
        <w:t xml:space="preserve"> </w:t>
      </w:r>
    </w:p>
    <w:p w:rsidR="00F10E54" w:rsidRDefault="00BA1075" w:rsidP="00F10E54">
      <w:r>
        <w:t>PPP INTRODUCTION</w:t>
      </w:r>
    </w:p>
    <w:p w:rsidR="00046102" w:rsidRDefault="00046102" w:rsidP="00046102">
      <w:r>
        <w:t>Structures dans les titres scientifiques</w:t>
      </w:r>
    </w:p>
    <w:p w:rsidR="00046102" w:rsidRDefault="00046102" w:rsidP="00046102">
      <w:pPr>
        <w:rPr>
          <w:rFonts w:ascii="Calibri" w:hAnsi="Calibri" w:cs="Calibri"/>
          <w:color w:val="000000"/>
        </w:rPr>
      </w:pPr>
      <w:r>
        <w:t>Introduction</w:t>
      </w:r>
      <w:r w:rsidRPr="00F10E54">
        <w:t xml:space="preserve"> </w:t>
      </w:r>
      <w:r w:rsidRPr="00F10E54">
        <w:br/>
      </w:r>
      <w:r w:rsidRPr="00C943BE">
        <w:rPr>
          <w:rFonts w:ascii="Calibri" w:hAnsi="Calibri" w:cs="Calibri"/>
          <w:color w:val="000000"/>
        </w:rPr>
        <w:tab/>
      </w:r>
      <w:r>
        <w:rPr>
          <w:rFonts w:ascii="Calibri" w:hAnsi="Calibri" w:cs="Calibri"/>
          <w:color w:val="000000"/>
        </w:rPr>
        <w:t>Sujet : les titres scientifiques</w:t>
      </w:r>
    </w:p>
    <w:p w:rsidR="00046102" w:rsidRDefault="00046102" w:rsidP="00046102">
      <w:r>
        <w:tab/>
      </w:r>
      <w:r w:rsidRPr="00C943BE">
        <w:t xml:space="preserve">Problématique : peut-on trouver des structures </w:t>
      </w:r>
      <w:r>
        <w:t xml:space="preserve">lexico-syntaxique </w:t>
      </w:r>
      <w:r w:rsidRPr="00C943BE">
        <w:t>récurrentes</w:t>
      </w:r>
      <w:r>
        <w:t xml:space="preserve"> dans les titres scientifiques ? Comment peut-on les caractériser dans leur nature et leur usage ?</w:t>
      </w:r>
    </w:p>
    <w:p w:rsidR="00516111" w:rsidRDefault="00516111" w:rsidP="00046102">
      <w:r>
        <w:t>À l’aide de scripts écrits dans le langage de programmation Python</w:t>
      </w:r>
      <w:r>
        <w:fldChar w:fldCharType="begin"/>
      </w:r>
      <w:r>
        <w:instrText xml:space="preserve"> XE "</w:instrText>
      </w:r>
      <w:r w:rsidRPr="0010460D">
        <w:instrText>Python</w:instrText>
      </w:r>
      <w:r>
        <w:instrText xml:space="preserve">" </w:instrText>
      </w:r>
      <w:r>
        <w:fldChar w:fldCharType="end"/>
      </w:r>
      <w:r>
        <w:rPr>
          <w:rStyle w:val="Appelnotedebasdep"/>
        </w:rPr>
        <w:footnoteReference w:id="1"/>
      </w:r>
      <w:r>
        <w:t xml:space="preserve"> et du logiciel de tableur Excel</w:t>
      </w:r>
      <w:r>
        <w:fldChar w:fldCharType="begin"/>
      </w:r>
      <w:r>
        <w:instrText xml:space="preserve"> XE "</w:instrText>
      </w:r>
      <w:r w:rsidRPr="00193C88">
        <w:instrText>Excel</w:instrText>
      </w:r>
      <w:r>
        <w:instrText xml:space="preserve">" </w:instrText>
      </w:r>
      <w:r>
        <w:fldChar w:fldCharType="end"/>
      </w:r>
      <w:r>
        <w:rPr>
          <w:rStyle w:val="Appelnotedebasdep"/>
        </w:rPr>
        <w:footnoteReference w:id="2"/>
      </w:r>
      <w:r>
        <w:t xml:space="preserve">, nous … </w:t>
      </w:r>
    </w:p>
    <w:p w:rsidR="00BA1075" w:rsidRPr="00C943BE" w:rsidRDefault="00BA1075" w:rsidP="00046102"/>
    <w:p w:rsidR="00046102" w:rsidRDefault="00046102" w:rsidP="00F10E54"/>
    <w:p w:rsidR="00F10E54" w:rsidRDefault="00F10E54" w:rsidP="00F10E54">
      <w:r>
        <w:br w:type="page"/>
      </w:r>
    </w:p>
    <w:p w:rsidR="007448C4" w:rsidRDefault="007448C4" w:rsidP="007448C4">
      <w:pPr>
        <w:pStyle w:val="Titre1"/>
      </w:pPr>
      <w:bookmarkStart w:id="2" w:name="_Toc519867065"/>
      <w:r>
        <w:lastRenderedPageBreak/>
        <w:t>I. Les titres scientifiques</w:t>
      </w:r>
      <w:bookmarkEnd w:id="2"/>
    </w:p>
    <w:p w:rsidR="00FA3A41" w:rsidRDefault="00FA3A41" w:rsidP="00FA3A41">
      <w:pPr>
        <w:pStyle w:val="Titre2"/>
      </w:pPr>
      <w:bookmarkStart w:id="3" w:name="_Toc519867066"/>
      <w:r>
        <w:t>I.1 Problématiques étudiées</w:t>
      </w:r>
      <w:bookmarkEnd w:id="3"/>
    </w:p>
    <w:p w:rsidR="00596EA6" w:rsidRDefault="006A6D14" w:rsidP="00596EA6">
      <w:r>
        <w:tab/>
        <w:t>Les titres scientifiques ont déjà été</w:t>
      </w:r>
      <w:r w:rsidR="00FE2D88">
        <w:t xml:space="preserve"> étudiés </w:t>
      </w:r>
      <w:r w:rsidR="00FA3A41">
        <w:t>avec</w:t>
      </w:r>
      <w:r w:rsidR="00CC7EEC">
        <w:t xml:space="preserve"> différentes problématiques.</w:t>
      </w:r>
      <w:r w:rsidR="00FA3A41">
        <w:t xml:space="preserve"> </w:t>
      </w:r>
      <w:r w:rsidR="00596EA6">
        <w:t>Nous pouvons résumer ces problématiques en deux mouvements :</w:t>
      </w:r>
    </w:p>
    <w:p w:rsidR="00FA3A41" w:rsidRDefault="00596EA6" w:rsidP="00596EA6">
      <w:pPr>
        <w:pStyle w:val="Paragraphedeliste"/>
        <w:numPr>
          <w:ilvl w:val="0"/>
          <w:numId w:val="2"/>
        </w:numPr>
      </w:pPr>
      <w:r>
        <w:t>L’</w:t>
      </w:r>
      <w:r w:rsidR="00FA3A41">
        <w:t>analys</w:t>
      </w:r>
      <w:r>
        <w:t>e</w:t>
      </w:r>
      <w:r w:rsidR="00FA3A41">
        <w:t xml:space="preserve"> </w:t>
      </w:r>
      <w:r>
        <w:t xml:space="preserve">de </w:t>
      </w:r>
      <w:r w:rsidR="00FA3A41">
        <w:t xml:space="preserve">la constitution des titres, en </w:t>
      </w:r>
      <w:r>
        <w:t xml:space="preserve">en </w:t>
      </w:r>
      <w:r w:rsidR="00FA3A41">
        <w:t xml:space="preserve">proposant éventuellement une typologie. Le point analysé peut être l’ensemble du titre ou un point particulier, comme </w:t>
      </w:r>
      <w:r>
        <w:t xml:space="preserve">sa longueur ou </w:t>
      </w:r>
      <w:r w:rsidR="00FA3A41">
        <w:t>l’utilisation du double point.</w:t>
      </w:r>
    </w:p>
    <w:p w:rsidR="00FA3A41" w:rsidRDefault="00596EA6" w:rsidP="004E795A">
      <w:pPr>
        <w:pStyle w:val="Paragraphedeliste"/>
        <w:numPr>
          <w:ilvl w:val="0"/>
          <w:numId w:val="2"/>
        </w:numPr>
      </w:pPr>
      <w:r>
        <w:t xml:space="preserve">La mise en rapport de cette analyse avec une ou plusieurs </w:t>
      </w:r>
      <w:r w:rsidR="004E795A">
        <w:t>métadonnées du titre</w:t>
      </w:r>
      <w:r>
        <w:t>. Il peut s’agir du nombre d’auteurs, du domaine scientifique du texte titré, du nombre de téléchargement ou de citations du texte</w:t>
      </w:r>
      <w:r w:rsidR="004E795A">
        <w:t>, ou encore l’adéquation avec des règles d’écriture.</w:t>
      </w:r>
    </w:p>
    <w:p w:rsidR="009717D2" w:rsidRDefault="009717D2" w:rsidP="009717D2">
      <w:r>
        <w:t>PPP ETAT DE L’ART</w:t>
      </w:r>
    </w:p>
    <w:p w:rsidR="007448C4" w:rsidRDefault="003A0C24" w:rsidP="004E795A">
      <w:pPr>
        <w:pStyle w:val="Titre2"/>
      </w:pPr>
      <w:bookmarkStart w:id="4" w:name="_Toc519867067"/>
      <w:r>
        <w:t>I</w:t>
      </w:r>
      <w:r w:rsidR="007448C4">
        <w:t>.2 Corpus utilisés</w:t>
      </w:r>
      <w:bookmarkEnd w:id="4"/>
      <w:r w:rsidR="007448C4">
        <w:t xml:space="preserve"> </w:t>
      </w:r>
    </w:p>
    <w:p w:rsidR="007448C4" w:rsidRDefault="003A0C24" w:rsidP="004E795A">
      <w:pPr>
        <w:pStyle w:val="Titre2"/>
      </w:pPr>
      <w:bookmarkStart w:id="5" w:name="_Toc519867068"/>
      <w:r>
        <w:t>I</w:t>
      </w:r>
      <w:r w:rsidR="007448C4">
        <w:t>.3 Caractéristiques des titres</w:t>
      </w:r>
      <w:bookmarkEnd w:id="5"/>
    </w:p>
    <w:p w:rsidR="007448C4" w:rsidRDefault="003A0C24" w:rsidP="004E795A">
      <w:pPr>
        <w:pStyle w:val="Titre2"/>
      </w:pPr>
      <w:bookmarkStart w:id="6" w:name="_Toc519867069"/>
      <w:r>
        <w:t>I</w:t>
      </w:r>
      <w:r w:rsidR="007448C4">
        <w:t>.4 Typologies des titres</w:t>
      </w:r>
      <w:bookmarkEnd w:id="6"/>
    </w:p>
    <w:p w:rsidR="007448C4" w:rsidRDefault="007448C4" w:rsidP="007448C4">
      <w:pPr>
        <w:pStyle w:val="Titre1"/>
      </w:pPr>
      <w:bookmarkStart w:id="7" w:name="_Toc519867070"/>
      <w:r>
        <w:t>II. Corpus de travail</w:t>
      </w:r>
      <w:bookmarkEnd w:id="7"/>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8" w:name="_Toc519867071"/>
      <w:r>
        <w:t>II</w:t>
      </w:r>
      <w:r w:rsidR="007448C4">
        <w:t>.1 Présentation de HAL et extraction des données</w:t>
      </w:r>
      <w:bookmarkEnd w:id="8"/>
    </w:p>
    <w:p w:rsidR="00C812A1" w:rsidRDefault="00C812A1" w:rsidP="00C812A1">
      <w:r w:rsidRPr="00C812A1">
        <w:tab/>
        <w:t>Nos titres sont issus de l’archive ouverte Hyper Article en Ligne</w:t>
      </w:r>
      <w:r>
        <w:rPr>
          <w:rStyle w:val="Appelnotedebasdep"/>
        </w:rPr>
        <w:footnoteReference w:id="3"/>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0F5AC2">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4"/>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xml:space="preserve">, ou pour un type de texte </w:t>
      </w:r>
      <w:r w:rsidRPr="00C812A1">
        <w:lastRenderedPageBreak/>
        <w:t>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5"/>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0F5AC2">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6"/>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0F5AC2">
            <w:rPr>
              <w:b/>
            </w:rPr>
            <w:instrText xml:space="preserve">CITATION Bra17 \l 1036 </w:instrText>
          </w:r>
          <w:r w:rsidR="00496CC4">
            <w:fldChar w:fldCharType="separate"/>
          </w:r>
          <w:r w:rsidR="000F5AC2" w:rsidRPr="000F5AC2">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 xml:space="preserve">de dernière </w:t>
      </w:r>
      <w:r w:rsidR="002328AC">
        <w:lastRenderedPageBreak/>
        <w:t>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9" w:name="_Toc519867072"/>
      <w:r>
        <w:t>II</w:t>
      </w:r>
      <w:r w:rsidR="007448C4">
        <w:t xml:space="preserve">.2 </w:t>
      </w:r>
      <w:r w:rsidR="00B31E5A">
        <w:t>T</w:t>
      </w:r>
      <w:r w:rsidR="007448C4">
        <w:t>raitement des données</w:t>
      </w:r>
      <w:r w:rsidR="00B31E5A">
        <w:t xml:space="preserve"> et exemples</w:t>
      </w:r>
      <w:bookmarkEnd w:id="9"/>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123170" w:rsidP="00123170">
      <w:pPr>
        <w:pStyle w:val="Titre3"/>
      </w:pPr>
      <w:bookmarkStart w:id="10" w:name="_Toc519867073"/>
      <w:r>
        <w:t>A) Enrichissement des données</w:t>
      </w:r>
      <w:bookmarkEnd w:id="10"/>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7"/>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w:t>
      </w:r>
      <w:proofErr w:type="spellStart"/>
      <w:r>
        <w:t>Talismane</w:t>
      </w:r>
      <w:proofErr w:type="spellEnd"/>
      <w:r>
        <w:rPr>
          <w:rStyle w:val="Appelnotedebasdep"/>
        </w:rPr>
        <w:footnoteReference w:id="8"/>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Pr="004E6AB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Avoir le lemme d’un mot permet de rassembler toutes ses formes fléchies sous une même étiquette et de compter le nombre d’occurrences de celle-ci ensuite. La catégorie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w:t>
      </w:r>
      <w:proofErr w:type="spellStart"/>
      <w:r w:rsidR="00FB65E2">
        <w:t>Talismane</w:t>
      </w:r>
      <w:proofErr w:type="spellEnd"/>
      <w:r w:rsidR="00FB65E2">
        <w:t xml:space="preserv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l’enregistrement de notre corpus, par un traitement rattaché à ceux que nous qualifions de conversions.</w:t>
      </w:r>
    </w:p>
    <w:p w:rsidR="00FB65E2" w:rsidRDefault="00FB65E2" w:rsidP="00FB65E2">
      <w:pPr>
        <w:pStyle w:val="Titre2"/>
      </w:pPr>
      <w:bookmarkStart w:id="11" w:name="_Toc519867074"/>
      <w:r>
        <w:t>B) Conversions</w:t>
      </w:r>
      <w:bookmarkEnd w:id="11"/>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w:t>
      </w:r>
      <w:proofErr w:type="spellStart"/>
      <w:r w:rsidR="00483774">
        <w:t>Talismane</w:t>
      </w:r>
      <w:proofErr w:type="spellEnd"/>
      <w:r w:rsidR="00483774">
        <w:t xml:space="preserv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9"/>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lastRenderedPageBreak/>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lastRenderedPageBreak/>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 xml:space="preserve">Le titre en lui-même est présent sous une forme complète et une forme décomposée en mots, avec pour chaque mot la forme fléchie présente dans le texte, son lemme et son étiquette POS. Lorsque </w:t>
      </w:r>
      <w:proofErr w:type="spellStart"/>
      <w:r>
        <w:t>Talismane</w:t>
      </w:r>
      <w:proofErr w:type="spellEnd"/>
      <w:r>
        <w:t xml:space="preserv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2" w:name="_Toc519867075"/>
      <w:r>
        <w:t>C) Filtrage</w:t>
      </w:r>
      <w:bookmarkEnd w:id="12"/>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lastRenderedPageBreak/>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0"/>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9717DF">
        <w:rPr>
          <w:noProof/>
        </w:rPr>
        <w:fldChar w:fldCharType="begin"/>
      </w:r>
      <w:r w:rsidR="009717DF">
        <w:rPr>
          <w:noProof/>
        </w:rPr>
        <w:instrText xml:space="preserve"> SEQ Tableau \* ARABIC </w:instrText>
      </w:r>
      <w:r w:rsidR="009717DF">
        <w:rPr>
          <w:noProof/>
        </w:rPr>
        <w:fldChar w:fldCharType="separate"/>
      </w:r>
      <w:r w:rsidR="003435D1">
        <w:rPr>
          <w:noProof/>
        </w:rPr>
        <w:t>1</w:t>
      </w:r>
      <w:r w:rsidR="009717DF">
        <w:rPr>
          <w:noProof/>
        </w:rPr>
        <w:fldChar w:fldCharType="end"/>
      </w:r>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w:t>
      </w:r>
      <w:r w:rsidR="005A6532">
        <w:lastRenderedPageBreak/>
        <w:t>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3" w:name="OLE_LINK1"/>
      <w:r w:rsidR="008706B7" w:rsidRPr="008706B7">
        <w:rPr>
          <w:b/>
        </w:rPr>
        <w:t>8</w:t>
      </w:r>
      <w:r w:rsidR="00352433">
        <w:rPr>
          <w:b/>
        </w:rPr>
        <w:t>5</w:t>
      </w:r>
      <w:r w:rsidR="008706B7" w:rsidRPr="008706B7">
        <w:rPr>
          <w:b/>
        </w:rPr>
        <w:t> </w:t>
      </w:r>
      <w:r w:rsidR="00352433">
        <w:rPr>
          <w:b/>
        </w:rPr>
        <w:t>531</w:t>
      </w:r>
      <w:r w:rsidR="008706B7">
        <w:t xml:space="preserve"> </w:t>
      </w:r>
      <w:bookmarkEnd w:id="13"/>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4" w:name="_Toc519867076"/>
      <w:r>
        <w:t>II</w:t>
      </w:r>
      <w:r w:rsidR="007448C4">
        <w:t>.</w:t>
      </w:r>
      <w:r w:rsidR="00F556ED">
        <w:t>3</w:t>
      </w:r>
      <w:r w:rsidR="007448C4">
        <w:t xml:space="preserve"> </w:t>
      </w:r>
      <w:r w:rsidR="008D40CF">
        <w:t>Constations</w:t>
      </w:r>
      <w:r w:rsidR="00AE4E4E">
        <w:t xml:space="preserve"> et exemples</w:t>
      </w:r>
      <w:bookmarkEnd w:id="14"/>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8D2488">
            <w:rPr>
              <w:noProof/>
            </w:rPr>
            <w:t xml:space="preserve"> (Cori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6058FB" w:rsidRDefault="007F391C" w:rsidP="007F391C">
      <w:pPr>
        <w:pStyle w:val="Titre3"/>
      </w:pPr>
      <w:bookmarkStart w:id="15" w:name="_Toc519867077"/>
      <w:r>
        <w:t>II</w:t>
      </w:r>
      <w:r w:rsidRPr="00F569F7">
        <w:t>.</w:t>
      </w:r>
      <w:r>
        <w:t>3.1</w:t>
      </w:r>
      <w:r w:rsidRPr="00F569F7">
        <w:t xml:space="preserve"> </w:t>
      </w:r>
      <w:r w:rsidR="006058FB">
        <w:t>Caractéristiques de nos corpus</w:t>
      </w:r>
      <w:bookmarkEnd w:id="15"/>
    </w:p>
    <w:p w:rsidR="007F391C" w:rsidRDefault="006058FB" w:rsidP="006058FB">
      <w:pPr>
        <w:pStyle w:val="Titre4"/>
        <w:numPr>
          <w:ilvl w:val="0"/>
          <w:numId w:val="6"/>
        </w:numPr>
      </w:pPr>
      <w:r>
        <w:t>Types de</w:t>
      </w:r>
      <w:r w:rsidR="007F391C" w:rsidRPr="00F569F7">
        <w:t xml:space="preserve"> </w:t>
      </w:r>
      <w:r w:rsidR="007F391C">
        <w:t>documents</w:t>
      </w:r>
    </w:p>
    <w:p w:rsidR="007F391C"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75158" w:rsidTr="00775158">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w:t>
            </w:r>
          </w:p>
        </w:tc>
      </w:tr>
      <w:tr w:rsidR="00775158" w:rsidTr="00775158">
        <w:trPr>
          <w:jc w:val="center"/>
        </w:trPr>
        <w:tc>
          <w:tcPr>
            <w:tcW w:w="1809" w:type="dxa"/>
            <w:tcBorders>
              <w:top w:val="single" w:sz="4" w:space="0" w:color="4F81BD" w:themeColor="accent1"/>
            </w:tcBorders>
          </w:tcPr>
          <w:p w:rsidR="00775158" w:rsidRDefault="00775158" w:rsidP="007F391C">
            <w:pPr>
              <w:spacing w:after="160" w:line="256" w:lineRule="auto"/>
            </w:pPr>
            <w:r>
              <w:t>Article</w:t>
            </w:r>
          </w:p>
        </w:tc>
        <w:tc>
          <w:tcPr>
            <w:tcW w:w="1246" w:type="dxa"/>
            <w:tcBorders>
              <w:top w:val="single" w:sz="4" w:space="0" w:color="4F81BD" w:themeColor="accent1"/>
            </w:tcBorders>
          </w:tcPr>
          <w:p w:rsidR="00775158" w:rsidRDefault="00775158"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775158" w:rsidRDefault="00775158" w:rsidP="00775158">
            <w:pPr>
              <w:spacing w:after="160" w:line="256" w:lineRule="auto"/>
              <w:jc w:val="right"/>
            </w:pPr>
            <w:r>
              <w:t>30%</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Communication</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775158" w:rsidRDefault="00775158" w:rsidP="00775158">
            <w:pPr>
              <w:spacing w:after="160" w:line="256" w:lineRule="auto"/>
              <w:jc w:val="right"/>
            </w:pPr>
            <w:r>
              <w:t>23%</w:t>
            </w:r>
          </w:p>
        </w:tc>
      </w:tr>
      <w:tr w:rsidR="00775158" w:rsidTr="00775158">
        <w:trPr>
          <w:jc w:val="center"/>
        </w:trPr>
        <w:tc>
          <w:tcPr>
            <w:tcW w:w="1809" w:type="dxa"/>
          </w:tcPr>
          <w:p w:rsidR="00775158" w:rsidRDefault="00775158" w:rsidP="007F391C">
            <w:pPr>
              <w:spacing w:after="160" w:line="256" w:lineRule="auto"/>
            </w:pPr>
            <w:r>
              <w:t>Chapitre</w:t>
            </w:r>
          </w:p>
        </w:tc>
        <w:tc>
          <w:tcPr>
            <w:tcW w:w="1246" w:type="dxa"/>
          </w:tcPr>
          <w:p w:rsidR="00775158" w:rsidRPr="00775158" w:rsidRDefault="00775158" w:rsidP="00775158">
            <w:pPr>
              <w:jc w:val="right"/>
              <w:rPr>
                <w:rFonts w:cs="Calibri"/>
                <w:color w:val="000000"/>
              </w:rPr>
            </w:pPr>
            <w:r>
              <w:rPr>
                <w:rFonts w:cs="Calibri"/>
                <w:color w:val="000000"/>
              </w:rPr>
              <w:t>12 007</w:t>
            </w:r>
          </w:p>
        </w:tc>
        <w:tc>
          <w:tcPr>
            <w:tcW w:w="1247" w:type="dxa"/>
          </w:tcPr>
          <w:p w:rsidR="00775158" w:rsidRDefault="00775158" w:rsidP="00775158">
            <w:pPr>
              <w:spacing w:after="160" w:line="256" w:lineRule="auto"/>
              <w:jc w:val="right"/>
            </w:pPr>
            <w:r>
              <w:t>14%</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Thèse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775158" w:rsidRDefault="00775158" w:rsidP="00775158">
            <w:pPr>
              <w:spacing w:after="160" w:line="256" w:lineRule="auto"/>
              <w:jc w:val="right"/>
            </w:pPr>
            <w:r>
              <w:t>12%</w:t>
            </w:r>
          </w:p>
        </w:tc>
      </w:tr>
      <w:tr w:rsidR="00775158" w:rsidTr="00775158">
        <w:trPr>
          <w:jc w:val="center"/>
        </w:trPr>
        <w:tc>
          <w:tcPr>
            <w:tcW w:w="1809" w:type="dxa"/>
          </w:tcPr>
          <w:p w:rsidR="00775158" w:rsidRDefault="00775158" w:rsidP="007F391C">
            <w:pPr>
              <w:spacing w:after="160" w:line="256" w:lineRule="auto"/>
            </w:pPr>
            <w:r>
              <w:t>Mémoire</w:t>
            </w:r>
          </w:p>
        </w:tc>
        <w:tc>
          <w:tcPr>
            <w:tcW w:w="1246" w:type="dxa"/>
          </w:tcPr>
          <w:p w:rsidR="00775158" w:rsidRPr="00775158" w:rsidRDefault="00775158" w:rsidP="00775158">
            <w:pPr>
              <w:jc w:val="right"/>
              <w:rPr>
                <w:rFonts w:cs="Calibri"/>
                <w:color w:val="000000"/>
              </w:rPr>
            </w:pPr>
            <w:r>
              <w:rPr>
                <w:rFonts w:cs="Calibri"/>
                <w:color w:val="000000"/>
              </w:rPr>
              <w:t>6 716</w:t>
            </w:r>
          </w:p>
        </w:tc>
        <w:tc>
          <w:tcPr>
            <w:tcW w:w="1247" w:type="dxa"/>
          </w:tcPr>
          <w:p w:rsidR="00775158" w:rsidRDefault="00775158" w:rsidP="00775158">
            <w:pPr>
              <w:spacing w:after="160" w:line="256" w:lineRule="auto"/>
              <w:jc w:val="right"/>
            </w:pPr>
            <w:r>
              <w:t>8%</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Ouvrage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775158" w:rsidRDefault="00775158" w:rsidP="00775158">
            <w:pPr>
              <w:spacing w:after="160" w:line="256" w:lineRule="auto"/>
              <w:jc w:val="right"/>
            </w:pPr>
            <w:r>
              <w:t>3%</w:t>
            </w:r>
          </w:p>
        </w:tc>
      </w:tr>
      <w:tr w:rsidR="00775158" w:rsidTr="00775158">
        <w:trPr>
          <w:jc w:val="center"/>
        </w:trPr>
        <w:tc>
          <w:tcPr>
            <w:tcW w:w="1809" w:type="dxa"/>
          </w:tcPr>
          <w:p w:rsidR="00775158" w:rsidRDefault="00775158" w:rsidP="007F391C">
            <w:pPr>
              <w:spacing w:after="160" w:line="256" w:lineRule="auto"/>
            </w:pPr>
            <w:r>
              <w:t>Autre publication</w:t>
            </w:r>
          </w:p>
        </w:tc>
        <w:tc>
          <w:tcPr>
            <w:tcW w:w="1246" w:type="dxa"/>
          </w:tcPr>
          <w:p w:rsidR="00775158" w:rsidRDefault="00775158" w:rsidP="00935275">
            <w:pPr>
              <w:spacing w:after="160" w:line="256" w:lineRule="auto"/>
              <w:jc w:val="right"/>
            </w:pPr>
            <w:r>
              <w:t>2 147</w:t>
            </w:r>
          </w:p>
        </w:tc>
        <w:tc>
          <w:tcPr>
            <w:tcW w:w="1247" w:type="dxa"/>
          </w:tcPr>
          <w:p w:rsidR="00775158" w:rsidRDefault="00775158" w:rsidP="00775158">
            <w:pPr>
              <w:spacing w:after="160" w:line="256" w:lineRule="auto"/>
              <w:jc w:val="right"/>
            </w:pPr>
            <w:r>
              <w:t>3%</w:t>
            </w:r>
          </w:p>
        </w:tc>
      </w:tr>
    </w:tbl>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p>
    <w:p w:rsidR="006058FB" w:rsidRDefault="006058FB" w:rsidP="006058FB">
      <w:pPr>
        <w:pStyle w:val="Titre4"/>
        <w:numPr>
          <w:ilvl w:val="0"/>
          <w:numId w:val="6"/>
        </w:numPr>
      </w:pPr>
      <w:r>
        <w:t>Années des documents</w:t>
      </w:r>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lastRenderedPageBreak/>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111540">
            <w:pPr>
              <w:spacing w:after="160" w:line="256" w:lineRule="auto"/>
              <w:jc w:val="right"/>
            </w:pPr>
            <w:r>
              <w:t>0</w:t>
            </w:r>
            <w:r w:rsidR="00751C36">
              <w:t>%</w:t>
            </w:r>
          </w:p>
        </w:tc>
      </w:tr>
    </w:tbl>
    <w:p w:rsidR="00775158"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6058FB" w:rsidP="006058FB">
      <w:pPr>
        <w:pStyle w:val="Titre4"/>
        <w:numPr>
          <w:ilvl w:val="0"/>
          <w:numId w:val="6"/>
        </w:numPr>
      </w:pPr>
      <w:r>
        <w:t>Longueurs des titres</w:t>
      </w:r>
    </w:p>
    <w:p w:rsidR="006058FB" w:rsidRDefault="006058FB" w:rsidP="006058FB">
      <w:r>
        <w:tab/>
      </w:r>
      <w:r w:rsidR="00657854">
        <w:t>La moyenne de la longueur</w:t>
      </w:r>
      <w:r w:rsidR="00FF6857">
        <w:t xml:space="preserve"> en mots</w:t>
      </w:r>
      <w:r w:rsidR="00657854">
        <w:t xml:space="preserve"> des titres est de 17,86 mots</w:t>
      </w:r>
      <w:r w:rsidR="00FF6857">
        <w:t>, pour des titres qui vont de 3 à 101 mots</w:t>
      </w:r>
      <w:r w:rsidR="00657854">
        <w:t>. La médiane est 16 mots</w:t>
      </w:r>
      <w:r w:rsidR="005269D8">
        <w:t>, le premier quartile est 12, le dernier est 21</w:t>
      </w:r>
      <w:r w:rsidR="00657854">
        <w:t>.</w:t>
      </w:r>
    </w:p>
    <w:p w:rsidR="006058FB" w:rsidRDefault="006058FB" w:rsidP="006058FB">
      <w:pPr>
        <w:pStyle w:val="Titre4"/>
        <w:numPr>
          <w:ilvl w:val="0"/>
          <w:numId w:val="6"/>
        </w:numPr>
      </w:pPr>
      <w:r>
        <w:t>Nombre d’auteurs</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6058FB" w:rsidP="006058FB">
      <w:pPr>
        <w:pStyle w:val="Titre4"/>
        <w:numPr>
          <w:ilvl w:val="0"/>
          <w:numId w:val="6"/>
        </w:numPr>
      </w:pPr>
      <w:r>
        <w:t>Domaines et nombre de domaines</w:t>
      </w:r>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6058FB"/>
        </w:tc>
      </w:tr>
    </w:tbl>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6058FB" w:rsidRDefault="006058FB" w:rsidP="006058FB">
      <w:pPr>
        <w:pStyle w:val="Titre4"/>
        <w:numPr>
          <w:ilvl w:val="0"/>
          <w:numId w:val="6"/>
        </w:numPr>
      </w:pPr>
      <w:r>
        <w:t>Lexique</w:t>
      </w:r>
    </w:p>
    <w:p w:rsidR="006058FB" w:rsidRPr="006058FB" w:rsidRDefault="006058FB" w:rsidP="006058FB">
      <w:r>
        <w:tab/>
      </w:r>
      <w:r w:rsidR="002149E1">
        <w:t>PP</w:t>
      </w:r>
      <w:r w:rsidR="00AA06C1">
        <w:t>P</w:t>
      </w:r>
      <w:r w:rsidR="00573DC2">
        <w:t xml:space="preserve"> CORPUS</w:t>
      </w:r>
    </w:p>
    <w:p w:rsidR="006058FB" w:rsidRDefault="006058FB" w:rsidP="002140E5">
      <w:pPr>
        <w:pStyle w:val="Titre3"/>
      </w:pPr>
      <w:bookmarkStart w:id="16" w:name="_Toc519867078"/>
      <w:r>
        <w:lastRenderedPageBreak/>
        <w:t xml:space="preserve">II.3.2 </w:t>
      </w:r>
      <w:r w:rsidR="002140E5">
        <w:t>Connexions avec les autres études</w:t>
      </w:r>
      <w:bookmarkEnd w:id="16"/>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Content>
          <w:r>
            <w:fldChar w:fldCharType="begin"/>
          </w:r>
          <w:r>
            <w:instrText xml:space="preserve"> CITATION Hag04 \l 1036 </w:instrText>
          </w:r>
          <w:r>
            <w:fldChar w:fldCharType="separate"/>
          </w:r>
          <w:r>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Content>
          <w:r>
            <w:fldChar w:fldCharType="begin"/>
          </w:r>
          <w:r>
            <w:instrText xml:space="preserve"> CITATION Lew05 \l 1036 </w:instrText>
          </w:r>
          <w:r>
            <w:fldChar w:fldCharType="separate"/>
          </w:r>
          <w:r>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2140E5" w:rsidRDefault="005B60AE" w:rsidP="006058FB">
      <w:r>
        <w:tab/>
        <w:t>TODO</w:t>
      </w:r>
    </w:p>
    <w:p w:rsidR="005B60AE" w:rsidRPr="006058FB" w:rsidRDefault="005B60AE" w:rsidP="006058FB"/>
    <w:tbl>
      <w:tblPr>
        <w:tblStyle w:val="Grilledutableau"/>
        <w:tblW w:w="0" w:type="auto"/>
        <w:tblLook w:val="04A0" w:firstRow="1" w:lastRow="0" w:firstColumn="1" w:lastColumn="0" w:noHBand="0" w:noVBand="1"/>
      </w:tblPr>
      <w:tblGrid>
        <w:gridCol w:w="4106"/>
        <w:gridCol w:w="1276"/>
        <w:gridCol w:w="1134"/>
        <w:gridCol w:w="1417"/>
        <w:gridCol w:w="1129"/>
      </w:tblGrid>
      <w:tr w:rsidR="007F391C" w:rsidRPr="00F569F7" w:rsidTr="00840142">
        <w:tc>
          <w:tcPr>
            <w:tcW w:w="410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Type (traductions</w:t>
            </w:r>
            <w:r w:rsidRPr="00F569F7">
              <w:rPr>
                <w:b/>
                <w:vertAlign w:val="superscript"/>
              </w:rPr>
              <w:footnoteReference w:id="11"/>
            </w:r>
            <w:r w:rsidRPr="00F569F7">
              <w:rPr>
                <w:b/>
              </w:rPr>
              <w:t>)</w:t>
            </w:r>
          </w:p>
        </w:tc>
        <w:tc>
          <w:tcPr>
            <w:tcW w:w="127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corpus</w:t>
            </w:r>
          </w:p>
        </w:tc>
        <w:tc>
          <w:tcPr>
            <w:tcW w:w="1134"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corpus</w:t>
            </w:r>
          </w:p>
        </w:tc>
        <w:tc>
          <w:tcPr>
            <w:tcW w:w="1417"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HAL</w:t>
            </w:r>
          </w:p>
        </w:tc>
        <w:tc>
          <w:tcPr>
            <w:tcW w:w="1129"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HAL</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Article (Article dans une revue)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45 355</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30.94 %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681 988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49.65 %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Report (Rapport)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3 558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2.43 %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25 144</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1.83 %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Other</w:t>
            </w:r>
            <w:proofErr w:type="spellEnd"/>
            <w:r w:rsidRPr="00F569F7">
              <w:t xml:space="preserve"> (Autre publication)</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7 803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5.32 %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31 462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2.29 %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ConferenceObject</w:t>
            </w:r>
            <w:proofErr w:type="spellEnd"/>
            <w:r w:rsidRPr="00F569F7">
              <w:t xml:space="preserve"> (Communication dans un congrès)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35 860</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24.46 %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393 978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28.68 %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Preprint (</w:t>
            </w:r>
            <w:proofErr w:type="spellStart"/>
            <w:r w:rsidRPr="00F569F7">
              <w:t>Pré-publication</w:t>
            </w:r>
            <w:proofErr w:type="spellEnd"/>
            <w:r w:rsidRPr="00F569F7">
              <w:t>, document de travail)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2 878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1.96 %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37 462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2.73 %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BookPart</w:t>
            </w:r>
            <w:proofErr w:type="spellEnd"/>
            <w:r w:rsidRPr="00F569F7">
              <w:t xml:space="preserve"> (Chapitre d’ouvrage)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23 747</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center"/>
              <w:rPr>
                <w:rFonts w:ascii="Consolas" w:hAnsi="Consolas" w:cs="Consolas"/>
              </w:rPr>
            </w:pPr>
            <w:r w:rsidRPr="00F569F7">
              <w:rPr>
                <w:rFonts w:ascii="Consolas" w:hAnsi="Consolas" w:cs="Consolas"/>
              </w:rPr>
              <w:t>16.2 %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105 565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7.69 %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Lecture (Cours)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291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rPr>
                <w:rFonts w:ascii="Consolas" w:hAnsi="Consolas" w:cs="Consolas"/>
              </w:rPr>
            </w:pPr>
            <w:r>
              <w:rPr>
                <w:rFonts w:ascii="Consolas" w:hAnsi="Consolas" w:cs="Consolas"/>
              </w:rPr>
              <w:t xml:space="preserve">  </w:t>
            </w:r>
            <w:r w:rsidRPr="00F569F7">
              <w:rPr>
                <w:rFonts w:ascii="Consolas" w:hAnsi="Consolas" w:cs="Consolas"/>
              </w:rPr>
              <w:t>0.2 %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1 102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0.08 %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Book (Livre)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10 831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7.39 %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24 705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r>
              <w:rPr>
                <w:rFonts w:ascii="Consolas" w:hAnsi="Consolas" w:cs="Consolas"/>
              </w:rPr>
              <w:t xml:space="preserve"> </w:t>
            </w:r>
            <w:r w:rsidRPr="00F569F7">
              <w:rPr>
                <w:rFonts w:ascii="Consolas" w:hAnsi="Consolas" w:cs="Consolas"/>
              </w:rPr>
              <w:t>1.8 %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Patent (Brevet)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323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3 179</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DoctoralThesis</w:t>
            </w:r>
            <w:proofErr w:type="spellEnd"/>
            <w:r w:rsidRPr="00F569F7">
              <w:t xml:space="preserve"> (Thèse)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15 954</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10.88 %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68 927</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5.02 %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MasterThesis</w:t>
            </w:r>
            <w:proofErr w:type="spellEnd"/>
            <w:r w:rsidRPr="00F569F7">
              <w:t xml:space="preserve"> (Mémoire d’étudiant)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26</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right"/>
              <w:rPr>
                <w:b/>
              </w:rPr>
            </w:pPr>
            <w:r w:rsidRPr="00F569F7">
              <w:rPr>
                <w:b/>
              </w:rPr>
              <w:t>Total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146 603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proofErr w:type="gramStart"/>
            <w:r w:rsidRPr="00F569F7">
              <w:rPr>
                <w:rFonts w:ascii="Consolas" w:hAnsi="Consolas" w:cs="Consolas"/>
              </w:rPr>
              <w:t>100  %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1 373 538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100   %</w:t>
            </w:r>
          </w:p>
        </w:tc>
      </w:tr>
    </w:tbl>
    <w:p w:rsidR="007F391C" w:rsidRPr="00F569F7" w:rsidRDefault="007F391C" w:rsidP="007F391C">
      <w:pPr>
        <w:spacing w:line="240" w:lineRule="auto"/>
        <w:jc w:val="center"/>
        <w:rPr>
          <w:rFonts w:ascii="Calibri" w:eastAsia="SimSun" w:hAnsi="Calibri" w:cs="Times New Roman"/>
          <w:i/>
          <w:iCs/>
          <w:color w:val="44546A"/>
          <w:sz w:val="18"/>
          <w:szCs w:val="18"/>
        </w:rPr>
      </w:pPr>
      <w:bookmarkStart w:id="17" w:name="_Toc504428846"/>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3435D1">
        <w:rPr>
          <w:rFonts w:ascii="Calibri" w:eastAsia="SimSun" w:hAnsi="Calibri" w:cs="Times New Roman"/>
          <w:i/>
          <w:iCs/>
          <w:noProof/>
          <w:color w:val="44546A"/>
          <w:sz w:val="18"/>
          <w:szCs w:val="18"/>
        </w:rPr>
        <w:t>2</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Répartition des titres par type</w:t>
      </w:r>
      <w:bookmarkEnd w:id="17"/>
    </w:p>
    <w:p w:rsidR="007F391C" w:rsidRDefault="007F391C" w:rsidP="007F391C">
      <w:pPr>
        <w:ind w:firstLine="708"/>
      </w:pPr>
      <w:r w:rsidRPr="00F569F7">
        <w:t xml:space="preserve">Nous avons choisi de mettre également les nombres pour l’ensemble de l’archive ouverte HAL. Cela dans un but d’essayer de mesurer la représentativité de notre corpus par rapport à </w:t>
      </w:r>
      <w:r w:rsidRPr="00F569F7">
        <w:lastRenderedPageBreak/>
        <w:t xml:space="preserve">l’ensemble des données. Un bon corpus se doit d’être représentatif ce qui est globalement le cas. Les livres sont néanmoins surreprésentés (~7% contre ~2%) dans notre corpus, les chapitres d’ouvrage (~16% contre ~8%) ainsi que les thèses (~11% contre ~5%). Les articles sont </w:t>
      </w:r>
      <w:proofErr w:type="gramStart"/>
      <w:r w:rsidRPr="00F569F7">
        <w:t>par contre</w:t>
      </w:r>
      <w:proofErr w:type="gramEnd"/>
      <w:r w:rsidRPr="00F569F7">
        <w:t xml:space="preserve"> sous représentés (~31% contre ~50%). Martin (2002) pose comme notion fondamentale qu’« en raison de sa finitude, le corpus ne réalise donc qu'une part infime de ce qui est réalisable. (…) Et en toute rigueur, une grammaire construite à partir d'un corpus ne vaut que pour le corpus qui l'a produite. »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une caractéristique extrinsèque particulière, comme le type de texte par exemple, nous construirions des corpus monotypes pour vérifier nos hypothèses.</w:t>
      </w:r>
    </w:p>
    <w:p w:rsidR="00E225A8" w:rsidRDefault="00270F19" w:rsidP="002327C1">
      <w:r>
        <w:t xml:space="preserve">Caractères spéciaux : Nous avons compté la présence de points d’interrogation, d’exclamation, </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Nous avons une moyenne pondérée de 87 caractères par titre.</w:t>
      </w:r>
    </w:p>
    <w:p w:rsidR="00527839" w:rsidRDefault="00527839" w:rsidP="00527839">
      <w:r>
        <w:t xml:space="preserve">    - Nous avons une moyenne pondérée de 13 mots par titre.</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18" w:name="_Toc504428865"/>
      <w:r>
        <w:t>II</w:t>
      </w:r>
      <w:r w:rsidR="00F569F7" w:rsidRPr="00F569F7">
        <w:t>.3</w:t>
      </w:r>
      <w:r>
        <w:t>.2</w:t>
      </w:r>
      <w:r w:rsidR="00F569F7" w:rsidRPr="00F569F7">
        <w:t xml:space="preserve"> Longueurs des titres et présences des caractères segmentant</w:t>
      </w:r>
      <w:bookmarkEnd w:id="18"/>
    </w:p>
    <w:p w:rsidR="005B60AE"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Une seconde tâche est de compter les mots, encore faudra-t-il décider si on les compte tous : </w:t>
      </w:r>
      <w:proofErr w:type="spellStart"/>
      <w:r w:rsidRPr="00F569F7">
        <w:rPr>
          <w:rFonts w:ascii="Calibri" w:eastAsia="SimSun" w:hAnsi="Calibri" w:cs="Times New Roman"/>
        </w:rPr>
        <w:t>Jamali</w:t>
      </w:r>
      <w:proofErr w:type="spellEnd"/>
      <w:r w:rsidRPr="00F569F7">
        <w:rPr>
          <w:rFonts w:ascii="Calibri" w:eastAsia="SimSun" w:hAnsi="Calibri" w:cs="Times New Roman"/>
        </w:rPr>
        <w:t xml:space="preserve"> et </w:t>
      </w:r>
      <w:proofErr w:type="spellStart"/>
      <w:r w:rsidRPr="00F569F7">
        <w:rPr>
          <w:rFonts w:ascii="Calibri" w:eastAsia="SimSun" w:hAnsi="Calibri" w:cs="Times New Roman"/>
        </w:rPr>
        <w:t>Nikzad</w:t>
      </w:r>
      <w:proofErr w:type="spellEnd"/>
      <w:r w:rsidRPr="00F569F7">
        <w:rPr>
          <w:rFonts w:ascii="Calibri" w:eastAsia="SimSun" w:hAnsi="Calibri" w:cs="Times New Roman"/>
        </w:rPr>
        <w:t xml:space="preserve"> (2011) ne comptent par exemple que les substantifs. </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Nous avons déjà donné quelques coups de sonde dans notre corpus sur certaines caractéristiques dont nous présentons les résultats dans le tableau 7. Une remarque importante est </w:t>
      </w:r>
      <w:r w:rsidRPr="00F569F7">
        <w:rPr>
          <w:rFonts w:ascii="Calibri" w:eastAsia="SimSun" w:hAnsi="Calibri" w:cs="Times New Roman"/>
        </w:rPr>
        <w:lastRenderedPageBreak/>
        <w:t>de pas confondre le point final, d’interrogation ou d’exclamation à l’intérieur d’un titre, qui le partitionne, de celui pouvant éventuellement le terminer.</w:t>
      </w:r>
    </w:p>
    <w:tbl>
      <w:tblPr>
        <w:tblStyle w:val="Grilledutableau1"/>
        <w:tblW w:w="0" w:type="auto"/>
        <w:tblLook w:val="04A0" w:firstRow="1" w:lastRow="0" w:firstColumn="1" w:lastColumn="0" w:noHBand="0" w:noVBand="1"/>
      </w:tblPr>
      <w:tblGrid>
        <w:gridCol w:w="4531"/>
        <w:gridCol w:w="1956"/>
        <w:gridCol w:w="2575"/>
      </w:tblGrid>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Caractéristique</w:t>
            </w:r>
          </w:p>
        </w:tc>
        <w:tc>
          <w:tcPr>
            <w:tcW w:w="453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Valeur</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Nombre de titres</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146 603</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Estimation de la longueur moyenne</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13 mots / titre</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Nombre de titres avec au moins un…</w:t>
            </w:r>
          </w:p>
        </w:tc>
        <w:tc>
          <w:tcPr>
            <w:tcW w:w="1956" w:type="dxa"/>
            <w:tcBorders>
              <w:top w:val="single" w:sz="4" w:space="0" w:color="auto"/>
              <w:left w:val="single" w:sz="4" w:space="0" w:color="auto"/>
              <w:bottom w:val="single" w:sz="4" w:space="0" w:color="auto"/>
              <w:right w:val="single" w:sz="4" w:space="0" w:color="auto"/>
            </w:tcBorders>
            <w:shd w:val="clear" w:color="auto" w:fill="E7E6E6"/>
          </w:tcPr>
          <w:p w:rsidR="00F569F7" w:rsidRPr="00F569F7" w:rsidRDefault="00F569F7" w:rsidP="00F569F7">
            <w:pPr>
              <w:jc w:val="left"/>
            </w:pPr>
          </w:p>
        </w:tc>
        <w:tc>
          <w:tcPr>
            <w:tcW w:w="2575"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left"/>
            </w:pPr>
            <w:r w:rsidRPr="00F569F7">
              <w:t>Dont en dernière position</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Double 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53 169 (36,27%)</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0 (0%)</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26 121 (17.82 %)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7 230 (27.68%)</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d’interrogation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11 949 (8,15%)</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7 064 (59 .12%)</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Guillemets : «, ", »</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jc w:val="left"/>
            </w:pPr>
            <w:r w:rsidRPr="00F569F7">
              <w:t>« 6902 </w:t>
            </w:r>
            <w:r w:rsidRPr="00F569F7">
              <w:br/>
              <w:t>» 6939</w:t>
            </w:r>
            <w:r w:rsidRPr="00F569F7">
              <w:rPr>
                <w:vertAlign w:val="superscript"/>
              </w:rPr>
              <w:footnoteReference w:id="12"/>
            </w:r>
            <w:r w:rsidRPr="00F569F7">
              <w:t xml:space="preserve"> </w:t>
            </w:r>
            <w:r w:rsidRPr="00F569F7">
              <w:br/>
              <w:t>" 5813</w:t>
            </w:r>
          </w:p>
        </w:tc>
        <w:tc>
          <w:tcPr>
            <w:tcW w:w="2575" w:type="dxa"/>
            <w:tcBorders>
              <w:top w:val="single" w:sz="4" w:space="0" w:color="auto"/>
              <w:left w:val="single" w:sz="4" w:space="0" w:color="auto"/>
              <w:bottom w:val="single" w:sz="4" w:space="0" w:color="auto"/>
              <w:right w:val="single" w:sz="4" w:space="0" w:color="auto"/>
            </w:tcBorders>
          </w:tcPr>
          <w:p w:rsidR="00F569F7" w:rsidRPr="00F569F7" w:rsidRDefault="00F569F7" w:rsidP="00F569F7">
            <w:pPr>
              <w:keepNext/>
              <w:jc w:val="left"/>
            </w:pP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Point-virgule</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1 256 (0.86 %)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 (0.4%)</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d’exclamation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671 (0,46%)</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264 (39.34%)</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19" w:name="_Toc504428847"/>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3435D1">
        <w:rPr>
          <w:rFonts w:ascii="Calibri" w:eastAsia="SimSun" w:hAnsi="Calibri" w:cs="Times New Roman"/>
          <w:i/>
          <w:iCs/>
          <w:noProof/>
          <w:color w:val="44546A"/>
          <w:sz w:val="18"/>
          <w:szCs w:val="18"/>
        </w:rPr>
        <w:t>3</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19"/>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5B60AE">
      <w:bookmarkStart w:id="20" w:name="_Toc504428866"/>
      <w:r>
        <w:t>II</w:t>
      </w:r>
      <w:r w:rsidR="00F569F7" w:rsidRPr="00F569F7">
        <w:t>.</w:t>
      </w:r>
      <w:r>
        <w:t>3.3</w:t>
      </w:r>
      <w:r w:rsidR="00F569F7" w:rsidRPr="00F569F7">
        <w:t xml:space="preserve"> Le lemme d’après</w:t>
      </w:r>
      <w:bookmarkEnd w:id="20"/>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1" w:name="_Toc504428848"/>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3435D1">
        <w:rPr>
          <w:rFonts w:ascii="Calibri" w:eastAsia="SimSun" w:hAnsi="Calibri" w:cs="Times New Roman"/>
          <w:i/>
          <w:iCs/>
          <w:noProof/>
          <w:color w:val="44546A"/>
          <w:sz w:val="18"/>
          <w:szCs w:val="18"/>
        </w:rPr>
        <w:t>4</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1"/>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r w:rsidRPr="00F569F7">
        <w:rPr>
          <w:rFonts w:ascii="Calibri" w:eastAsia="SimSun" w:hAnsi="Calibri" w:cs="Times New Roman"/>
        </w:rPr>
        <w:lastRenderedPageBreak/>
        <w:t>(</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2" w:name="_Toc504428867"/>
      <w:bookmarkStart w:id="23" w:name="_Toc519867079"/>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2"/>
      <w:bookmarkEnd w:id="23"/>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[Ligne 24082,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[Ligne 95974,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[Ligne XXX,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[Ligne 32,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4" w:name="_Toc519867080"/>
      <w:r>
        <w:t xml:space="preserve">III. </w:t>
      </w:r>
      <w:r w:rsidR="00111540">
        <w:t>Syntagme</w:t>
      </w:r>
      <w:r w:rsidR="00450AA0">
        <w:t>s</w:t>
      </w:r>
      <w:r w:rsidR="00E34743">
        <w:t xml:space="preserve"> </w:t>
      </w:r>
      <w:r>
        <w:t>et patrons</w:t>
      </w:r>
      <w:bookmarkEnd w:id="24"/>
    </w:p>
    <w:p w:rsidR="00632053" w:rsidRDefault="00632053" w:rsidP="00632053">
      <w:pPr>
        <w:pStyle w:val="Titre2"/>
      </w:pPr>
      <w:bookmarkStart w:id="25" w:name="_Toc519867081"/>
      <w:r>
        <w:t>III</w:t>
      </w:r>
      <w:r w:rsidR="007448C4">
        <w:t xml:space="preserve">.1 </w:t>
      </w:r>
      <w:r w:rsidR="00F072D7">
        <w:t>Rappel sur les syntagmes</w:t>
      </w:r>
      <w:bookmarkEnd w:id="25"/>
    </w:p>
    <w:p w:rsidR="00A079FF" w:rsidRDefault="009161B7" w:rsidP="00F569F7">
      <w:r>
        <w:tab/>
      </w:r>
      <w:r w:rsidR="00104235">
        <w:t xml:space="preserve">Le </w:t>
      </w:r>
      <w:r w:rsidR="00104235" w:rsidRPr="00E34743">
        <w:rPr>
          <w:b/>
        </w:rPr>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A00DAC">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A079FF">
            <w:rPr>
              <w:noProof/>
            </w:rPr>
            <w:t>(Neveu, 2017)</w:t>
          </w:r>
          <w:r w:rsidR="00A079FF">
            <w:fldChar w:fldCharType="end"/>
          </w:r>
        </w:sdtContent>
      </w:sdt>
      <w:r w:rsidR="00A079FF">
        <w:t>, « un syntagme est une 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A079FF">
            <w:rPr>
              <w:noProof/>
            </w:rPr>
            <w:t>(Neveu, 2017)</w:t>
          </w:r>
          <w:r w:rsidR="00A079FF">
            <w:fldChar w:fldCharType="end"/>
          </w:r>
        </w:sdtContent>
      </w:sdt>
      <w:r w:rsidR="00A079FF">
        <w:t>.</w:t>
      </w:r>
    </w:p>
    <w:p w:rsidR="00D773E0" w:rsidRDefault="00A079FF" w:rsidP="00F569F7">
      <w:r>
        <w:tab/>
      </w:r>
      <w:r w:rsidR="009E03D6">
        <w:t xml:space="preserve">Concrètement, un syntagme est représenté </w:t>
      </w:r>
      <w:r w:rsidR="002D1E3C">
        <w:t xml:space="preserve">dans notre travail </w:t>
      </w:r>
      <w:r w:rsidR="009E03D6">
        <w:t xml:space="preserve">par une </w:t>
      </w:r>
      <w:r w:rsidR="00E34743" w:rsidRPr="00E34743">
        <w:rPr>
          <w:b/>
        </w:rPr>
        <w:t>séquence</w:t>
      </w:r>
      <w:r w:rsidR="009E03D6">
        <w:t xml:space="preserve"> </w:t>
      </w:r>
      <w:r w:rsidR="002D3E83">
        <w:t xml:space="preserve">d’étiquettes POS </w:t>
      </w:r>
      <w:r w:rsidR="009E03D6">
        <w:t>comme « DET NC P DET NC »</w:t>
      </w:r>
      <w:r w:rsidR="00CF4349">
        <w:rPr>
          <w:rStyle w:val="Appelnotedebasdep"/>
        </w:rPr>
        <w:footnoteReference w:id="13"/>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w:t>
      </w:r>
      <w:r w:rsidR="00E34743">
        <w:t>séquence</w:t>
      </w:r>
      <w:r w:rsidR="00A506DA">
        <w:t xml:space="preserve"> </w:t>
      </w:r>
      <w:r w:rsidR="00DC714B">
        <w:t xml:space="preserve">ne doit pas faire oublier </w:t>
      </w:r>
      <w:r w:rsidR="00A506DA">
        <w:t>l’organisation hiérarchique</w:t>
      </w:r>
      <w:r w:rsidR="00A00DAC">
        <w:t xml:space="preserve"> des constituants du syntagme</w:t>
      </w:r>
      <w:r w:rsidR="00E34743">
        <w:t xml:space="preserve">, sa </w:t>
      </w:r>
      <w:r w:rsidR="00E34743" w:rsidRPr="00E34743">
        <w:rPr>
          <w:b/>
        </w:rPr>
        <w:t>structure</w:t>
      </w:r>
      <w:r w:rsidR="00A00DAC">
        <w:t>.</w:t>
      </w:r>
      <w:r>
        <w:t xml:space="preserve"> Ainsi notre syntagme nominal, qui a pour noyau « maison », a un complément déterminatif prépositionnel qui est un syntagme prépositionnel</w:t>
      </w:r>
      <w:r w:rsidR="002D3E83">
        <w:t>,</w:t>
      </w:r>
      <w:r w:rsidR="00D773E0">
        <w:t xml:space="preserve"> dont le noyau est « de »,</w:t>
      </w:r>
      <w:r>
        <w:t xml:space="preserve"> et qui contient un syntagme nominal</w:t>
      </w:r>
      <w:r w:rsidR="002D3E83">
        <w:t>,</w:t>
      </w:r>
      <w:r w:rsidR="00D773E0">
        <w:t xml:space="preserve"> ayant pour noyau « forêt »</w:t>
      </w:r>
      <w:r>
        <w:t>.</w:t>
      </w:r>
    </w:p>
    <w:p w:rsidR="00974558" w:rsidRDefault="00D773E0" w:rsidP="00F569F7">
      <w:r>
        <w:tab/>
      </w:r>
      <w:sdt>
        <w:sdtPr>
          <w:id w:val="745613630"/>
          <w:citation/>
        </w:sdtPr>
        <w:sdtContent>
          <w:r w:rsidR="00F410E4">
            <w:fldChar w:fldCharType="begin"/>
          </w:r>
          <w:r w:rsidR="00F410E4">
            <w:instrText xml:space="preserve">CITATION Mai07 \p 119 \l 1036 </w:instrText>
          </w:r>
          <w:r w:rsidR="00F410E4">
            <w:fldChar w:fldCharType="separate"/>
          </w:r>
          <w:r w:rsidR="00F410E4">
            <w:rPr>
              <w:noProof/>
            </w:rPr>
            <w:t>(Maingueneau, Chiss, &amp; Filliolet, 2007, p. 119)</w:t>
          </w:r>
          <w:r w:rsidR="00F410E4">
            <w:fldChar w:fldCharType="end"/>
          </w:r>
        </w:sdtContent>
      </w:sdt>
      <w:r w:rsidR="00A506DA">
        <w:t xml:space="preserve"> </w:t>
      </w:r>
      <w:r w:rsidR="00F410E4">
        <w:t xml:space="preserve">indique qu’un consensus existe pour représenter </w:t>
      </w:r>
      <w:r w:rsidR="00E34743">
        <w:t>les</w:t>
      </w:r>
      <w:r>
        <w:t xml:space="preserve"> syntagmes</w:t>
      </w:r>
      <w:r w:rsidR="00E34743">
        <w:t xml:space="preserve"> et leurs structures</w:t>
      </w:r>
      <w:r>
        <w:t xml:space="preserve"> </w:t>
      </w:r>
      <w:r w:rsidR="00F410E4">
        <w:t xml:space="preserve">en utilisant des graphes arborescents, </w:t>
      </w:r>
      <w:r>
        <w:t xml:space="preserve">communément appelés </w:t>
      </w:r>
      <w:r w:rsidRPr="00D773E0">
        <w:rPr>
          <w:i/>
        </w:rPr>
        <w:t>arbres</w:t>
      </w:r>
      <w:r>
        <w:t xml:space="preserve">. 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lastRenderedPageBreak/>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6"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Pr>
          <w:noProof/>
        </w:rPr>
        <w:t>1</w:t>
      </w:r>
      <w:r w:rsidR="00A00DAC">
        <w:rPr>
          <w:noProof/>
        </w:rPr>
        <w:fldChar w:fldCharType="end"/>
      </w:r>
      <w:r>
        <w:t xml:space="preserve"> : arbre d'analyse</w:t>
      </w:r>
      <w:bookmarkEnd w:id="26"/>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 Elles sont au nombre de 45</w:t>
      </w:r>
      <w:r w:rsidR="005B6AB3">
        <w:t> </w:t>
      </w:r>
      <w:r>
        <w:t>098</w:t>
      </w:r>
      <w:r w:rsidR="005B6AB3">
        <w:t>.</w:t>
      </w:r>
      <w:r w:rsidRPr="00F50191">
        <w:t xml:space="preserve"> </w:t>
      </w:r>
      <w:r>
        <w:t xml:space="preserve">Nous les avons observés sous deux angles : </w:t>
      </w:r>
      <w:r w:rsidR="00E34743">
        <w:t>les éléments qui les composent,</w:t>
      </w:r>
      <w:r>
        <w:t xml:space="preserve"> et leurs nombres d’occurrences.</w:t>
      </w:r>
    </w:p>
    <w:p w:rsidR="00F072D7" w:rsidRDefault="00F072D7" w:rsidP="00F072D7">
      <w:pPr>
        <w:pStyle w:val="Titre2"/>
      </w:pPr>
      <w:bookmarkStart w:id="27" w:name="_Toc519867082"/>
      <w:r>
        <w:t xml:space="preserve">III.2 </w:t>
      </w:r>
      <w:r w:rsidR="00E34743">
        <w:t>Limites de notre étude</w:t>
      </w:r>
      <w:bookmarkEnd w:id="27"/>
    </w:p>
    <w:p w:rsidR="00A54095" w:rsidRDefault="00F50191" w:rsidP="00F072D7">
      <w:pPr>
        <w:ind w:firstLine="708"/>
      </w:pPr>
      <w:r>
        <w:t xml:space="preserve">Pour réduire la portée de notre étude aux dimensions de cet exercice, nous nous limitons à </w:t>
      </w:r>
      <w:r w:rsidR="003E3B01">
        <w:t>étudier</w:t>
      </w:r>
      <w:r w:rsidR="00745870">
        <w:t xml:space="preserve"> dans les titres</w:t>
      </w:r>
      <w:r>
        <w:t xml:space="preserve"> le syntagme qui suit </w:t>
      </w:r>
      <w:r w:rsidRPr="00745870">
        <w:rPr>
          <w:i/>
        </w:rPr>
        <w:t>immédiatement</w:t>
      </w:r>
      <w:r w:rsidR="00E34743">
        <w:t xml:space="preserve"> le double point </w:t>
      </w:r>
      <w:r w:rsidR="00745870">
        <w:t>et non pas l’ensemble des mots après</w:t>
      </w:r>
      <w:r w:rsidR="00E34743">
        <w:t xml:space="preserve">. </w:t>
      </w:r>
      <w:proofErr w:type="gramStart"/>
      <w:r w:rsidR="00E34743">
        <w:t>Nous nous limiterons également en n’appréhendant pas</w:t>
      </w:r>
      <w:proofErr w:type="gramEnd"/>
      <w:r w:rsidR="00E34743">
        <w:t xml:space="preserve"> l’intégralité de</w:t>
      </w:r>
      <w:r w:rsidR="004C7930">
        <w:t xml:space="preserve"> l</w:t>
      </w:r>
      <w:r w:rsidR="00E34743">
        <w:t>a structure</w:t>
      </w:r>
      <w:r w:rsidR="004C7930">
        <w:t xml:space="preserve"> de ce syntagme</w:t>
      </w:r>
      <w:r w:rsidR="00E34743">
        <w:t xml:space="preserve"> mais une partie seulement.</w:t>
      </w:r>
      <w:r w:rsidR="004C7930">
        <w:t xml:space="preserve"> Il est néanmoins difficile de savoir où « couper » entre partie observée et partie non observée dans la séquence après le double point pour restreindre notre étude. Il est également très difficile de résonner avec un grand nombre de possibilité, il nous faut les regrouper.</w:t>
      </w:r>
    </w:p>
    <w:p w:rsidR="008E20D4" w:rsidRDefault="008E20D4" w:rsidP="00F072D7">
      <w:pPr>
        <w:ind w:firstLine="708"/>
      </w:pPr>
      <w:r>
        <w:t>Nous savons qu’un syntagme ne s’étant jamais au-delà de la phrase dont il est un constituant. Nous pouvons donc exclure de notre observation tout ce qui se trouve après un point, un point d’interrogation, un point d’exclamation ou un point-virgule.</w:t>
      </w:r>
      <w:r w:rsidR="00445C4A">
        <w:t xml:space="preserve"> Notre inventaire des séquences tombe alors à </w:t>
      </w:r>
      <w:r w:rsidR="00492454">
        <w:t>42</w:t>
      </w:r>
      <w:r w:rsidR="0029667E">
        <w:t> </w:t>
      </w:r>
      <w:r w:rsidR="00492454">
        <w:t>942</w:t>
      </w:r>
      <w:r w:rsidR="0029667E">
        <w:t>. On élimine 2156 séquences qui sont jugées équivalentes</w:t>
      </w:r>
      <w:r w:rsidR="00492454">
        <w:t>.</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à ce </w:t>
      </w:r>
      <w:r w:rsidR="005B6AB3">
        <w:t>syntagme complexe</w:t>
      </w:r>
      <w:r w:rsidR="00181572">
        <w:t>, il reste toujours</w:t>
      </w:r>
      <w:r w:rsidR="003E3B01">
        <w:t xml:space="preserve"> représenté par </w:t>
      </w:r>
      <w:r w:rsidR="00F50191">
        <w:t xml:space="preserve">une grande variété de </w:t>
      </w:r>
      <w:r w:rsidR="00375369">
        <w:t>séquences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28" w:name="_Ref519781251"/>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lastRenderedPageBreak/>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r w:rsidR="00A00DAC">
        <w:rPr>
          <w:noProof/>
        </w:rPr>
        <w:fldChar w:fldCharType="begin"/>
      </w:r>
      <w:r w:rsidR="00A00DAC">
        <w:rPr>
          <w:noProof/>
        </w:rPr>
        <w:instrText xml:space="preserve"> SEQ Tableau \* ARABIC </w:instrText>
      </w:r>
      <w:r w:rsidR="00A00DAC">
        <w:rPr>
          <w:noProof/>
        </w:rPr>
        <w:fldChar w:fldCharType="separate"/>
      </w:r>
      <w:r w:rsidR="003435D1">
        <w:rPr>
          <w:noProof/>
        </w:rPr>
        <w:t>5</w:t>
      </w:r>
      <w:r w:rsidR="00A00DAC">
        <w:rPr>
          <w:noProof/>
        </w:rPr>
        <w:fldChar w:fldCharType="end"/>
      </w:r>
      <w:r>
        <w:t>: exemples de suites d</w:t>
      </w:r>
      <w:r w:rsidR="004A3E2D">
        <w:t>e catégories</w:t>
      </w:r>
      <w:r>
        <w:t xml:space="preserve"> correspondant à un syntagme nominal</w:t>
      </w:r>
      <w:r w:rsidR="00167EF2">
        <w:t xml:space="preserve"> après le double point</w:t>
      </w:r>
      <w:bookmarkEnd w:id="28"/>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29" w:name="_Toc519867083"/>
      <w:r>
        <w:t>III.</w:t>
      </w:r>
      <w:r w:rsidR="00F072D7">
        <w:t>3</w:t>
      </w:r>
      <w:r>
        <w:t xml:space="preserve"> Définition des patrons</w:t>
      </w:r>
      <w:bookmarkEnd w:id="29"/>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375369">
        <w:t>Sa caractéristique principale est sa variabilité. Le modèle définit que c</w:t>
      </w:r>
      <w:r>
        <w:t xml:space="preserve">ertaines </w:t>
      </w:r>
      <w:r w:rsidR="00375369">
        <w:t>étiquettes POS</w:t>
      </w:r>
      <w:r>
        <w:t xml:space="preserve"> </w:t>
      </w:r>
      <w:r w:rsidR="00167EF2">
        <w:t xml:space="preserve">peuvent ne pas apparaître, 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 xml:space="preserve">Lever cette ambiguïté reviendrait à faire une analyse syntaxique plus poussée des éléments après le double point, or c’est ce que nous voulons éviter. Nous resterons </w:t>
      </w:r>
      <w:proofErr w:type="gramStart"/>
      <w:r>
        <w:t>conscient</w:t>
      </w:r>
      <w:proofErr w:type="gramEnd"/>
      <w:r>
        <w:t xml:space="preserve"> de ce</w:t>
      </w:r>
      <w:r w:rsidR="0008279A">
        <w:t>tte simplification</w:t>
      </w:r>
      <w:r>
        <w:t xml:space="preserve"> lors de l’analyse de nos résultats</w:t>
      </w:r>
      <w:r w:rsidR="00D93A38">
        <w:t xml:space="preserve"> et p</w:t>
      </w:r>
      <w:r>
        <w:t>ouvons</w:t>
      </w:r>
      <w:r w:rsidR="00D93A38">
        <w:t xml:space="preserve"> à présent</w:t>
      </w:r>
      <w:r>
        <w:t xml:space="preserve"> commencer à écrire nos patrons.</w:t>
      </w:r>
    </w:p>
    <w:p w:rsidR="008776E6" w:rsidRDefault="0085177D" w:rsidP="00F569F7">
      <w:r w:rsidRPr="00C74C05">
        <w:rPr>
          <w:b/>
        </w:rPr>
        <w:lastRenderedPageBreak/>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fldChar w:fldCharType="begin"/>
      </w:r>
      <w:r w:rsidR="008776E6">
        <w:instrText xml:space="preserve"> REF _Ref519780114 \h </w:instrText>
      </w:r>
      <w:r w:rsidR="008776E6">
        <w:fldChar w:fldCharType="separate"/>
      </w:r>
      <w:r w:rsidR="008776E6">
        <w:t xml:space="preserve">Figure </w:t>
      </w:r>
      <w:r w:rsidR="008776E6">
        <w:rPr>
          <w:noProof/>
        </w:rPr>
        <w:t>1</w:t>
      </w:r>
      <w:r w:rsidR="008776E6">
        <w:t xml:space="preserve"> : arbre d'analyse</w:t>
      </w:r>
      <w:r w:rsidR="008776E6">
        <w:fldChar w:fldCharType="end"/>
      </w:r>
      <w:r w:rsidR="001F7F22">
        <w:t xml:space="preserve"> et </w:t>
      </w:r>
      <w:r w:rsidR="00C74C05">
        <w:t>aux séquences</w:t>
      </w:r>
      <w:r w:rsidR="0069299C">
        <w:t xml:space="preserve"> dans </w:t>
      </w:r>
      <w:r w:rsidR="001F7F22">
        <w:t xml:space="preserve">le </w:t>
      </w:r>
      <w:r w:rsidR="001F7F22">
        <w:fldChar w:fldCharType="begin"/>
      </w:r>
      <w:r w:rsidR="001F7F22">
        <w:instrText xml:space="preserve"> REF  _Ref519781251 \h </w:instrText>
      </w:r>
      <w:r w:rsidR="001F7F22">
        <w:fldChar w:fldCharType="separate"/>
      </w:r>
      <w:r w:rsidR="00552DE0">
        <w:t xml:space="preserve">Tableau </w:t>
      </w:r>
      <w:r w:rsidR="00552DE0">
        <w:rPr>
          <w:noProof/>
        </w:rPr>
        <w:t>5</w:t>
      </w:r>
      <w:r w:rsidR="00552DE0">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de les regrouper sous un patron donné</w:t>
      </w:r>
      <w:r w:rsidR="00C5214C">
        <w:t>.</w:t>
      </w:r>
      <w:r w:rsidR="00C74C05">
        <w:t xml:space="preserve"> Comme notre langage ne permet pas la répétition à l’infini d’élément, il est toujours possible de générer toutes les séquences s’</w:t>
      </w:r>
      <w:r w:rsidR="004130EE">
        <w:t>accordant avec un patron donné. Cela permet de mesurer sa variabilité.</w:t>
      </w:r>
    </w:p>
    <w:p w:rsidR="00745870" w:rsidRDefault="00745870" w:rsidP="00F569F7">
      <w:r>
        <w:tab/>
        <w:t xml:space="preserve">Nous pouvons à présent passer </w:t>
      </w:r>
      <w:r w:rsidR="00CF2DFA">
        <w:t>à la construction de trois patrons qui couvriront la majorité de notre corpus.</w:t>
      </w:r>
    </w:p>
    <w:p w:rsidR="00C5214C" w:rsidRDefault="005B6AB3" w:rsidP="005B6AB3">
      <w:pPr>
        <w:pStyle w:val="Titre2"/>
      </w:pPr>
      <w:bookmarkStart w:id="30" w:name="_Toc519867084"/>
      <w:r>
        <w:t>III.</w:t>
      </w:r>
      <w:r w:rsidR="00F072D7">
        <w:t>4</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30"/>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1400BF" w:rsidRDefault="0075783E" w:rsidP="00FC2D29">
      <w:pPr>
        <w:ind w:firstLine="708"/>
      </w:pPr>
      <w:r>
        <w:t>Les trois types de syntagmes que nous avons décidé d’étudier sont : le syntagme nominal, le syntagme prépositionnel et le syntagme verbal. À chaque fois, nous avons limité la complexité de ceux-ci en interrompant notre exploration.</w:t>
      </w:r>
      <w:r w:rsidR="008F399B">
        <w:t xml:space="preserve"> </w:t>
      </w:r>
      <w:r>
        <w:t>Pour le syntagme nominal par exemple, nous demandons la présence d’un sous syntagme prépositionnel mais nous ne regardons pas s’il y en a plus d’un ou ce qui suit.</w:t>
      </w:r>
      <w:r w:rsidR="00CE7AFE">
        <w:t xml:space="preserve"> Un patron s’accordera avec l’entièreté de la séquence si le début de celle-ci s’accorde avec lui, c’est-à-dire correspond à une séquence générée par celui-ci. Si plusieurs séquences générées par le patron </w:t>
      </w:r>
      <w:r w:rsidR="00A82287">
        <w:t>correspondent au début de</w:t>
      </w:r>
      <w:r w:rsidR="00CE7AFE">
        <w:t xml:space="preserve"> la séquence interrogée, la séquence</w:t>
      </w:r>
      <w:r w:rsidR="00A82287">
        <w:t xml:space="preserve"> générée</w:t>
      </w:r>
      <w:r w:rsidR="00CE7AFE">
        <w:t xml:space="preserve"> la plus longue sera retenue.</w:t>
      </w:r>
    </w:p>
    <w:p w:rsidR="003C3245" w:rsidRDefault="003C3245" w:rsidP="00FC2D29">
      <w:pPr>
        <w:ind w:firstLine="708"/>
      </w:pPr>
      <w:r>
        <w:t>Cette sélection s’est faite en regardant notre inventaire et en choisissant les séquences utilisées par le plus de titres pou</w:t>
      </w:r>
      <w:r w:rsidR="00417DD8">
        <w:t>r avoir une couverture maximale : en bleu, les lignes corre</w:t>
      </w:r>
      <w:r w:rsidR="00C90870">
        <w:t>spondant à un syntagme nominal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lastRenderedPageBreak/>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r>
        <w:t xml:space="preserve">Tableau </w:t>
      </w:r>
      <w:r w:rsidR="007C56FF">
        <w:rPr>
          <w:noProof/>
        </w:rPr>
        <w:fldChar w:fldCharType="begin"/>
      </w:r>
      <w:r w:rsidR="007C56FF">
        <w:rPr>
          <w:noProof/>
        </w:rPr>
        <w:instrText xml:space="preserve"> SEQ Tableau \* ARABIC </w:instrText>
      </w:r>
      <w:r w:rsidR="007C56FF">
        <w:rPr>
          <w:noProof/>
        </w:rPr>
        <w:fldChar w:fldCharType="separate"/>
      </w:r>
      <w:r>
        <w:rPr>
          <w:noProof/>
        </w:rPr>
        <w:t>6</w:t>
      </w:r>
      <w:r w:rsidR="007C56FF">
        <w:rPr>
          <w:noProof/>
        </w:rPr>
        <w:fldChar w:fldCharType="end"/>
      </w:r>
      <w:r>
        <w:t>: Les séquences les plus fréquentes dans les titres</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w:t>
      </w:r>
      <w:r w:rsidR="00A26BF3">
        <w:t>a couverture du</w:t>
      </w:r>
      <w:r w:rsidR="00AA06C1">
        <w:t xml:space="preserve"> patron est le nombre de </w:t>
      </w:r>
      <w:r w:rsidR="00A26BF3">
        <w:t>séquences d’étiquettes POS</w:t>
      </w:r>
      <w:r w:rsidR="00AA06C1">
        <w:t xml:space="preserve"> ou de titres auxquels il correspond, par rapport au nombre </w:t>
      </w:r>
      <w:r w:rsidR="00A26BF3">
        <w:t xml:space="preserve">total </w:t>
      </w:r>
      <w:r w:rsidR="00AA06C1">
        <w:t xml:space="preserve">de </w:t>
      </w:r>
      <w:r w:rsidR="00A26BF3">
        <w:t xml:space="preserve">séquences </w:t>
      </w:r>
      <w:r w:rsidR="00AA06C1">
        <w:t>inventoriées (</w:t>
      </w:r>
      <w:r w:rsidR="00A17A9C">
        <w:t>42 942</w:t>
      </w:r>
      <w:r w:rsidR="00AA06C1">
        <w:t>) et de titres dans notre corpus (</w:t>
      </w:r>
      <w:r w:rsidR="00AA06C1" w:rsidRPr="00AA06C1">
        <w:t>85 531</w:t>
      </w:r>
      <w:r w:rsidR="00AA06C1">
        <w:t>).</w:t>
      </w:r>
      <w:r w:rsidR="00513FF2">
        <w:t xml:space="preserve"> Le plus important est la couverture des titres, car certaines </w:t>
      </w:r>
      <w:r w:rsidR="00A26BF3">
        <w:t>séquences</w:t>
      </w:r>
      <w:r w:rsidR="00513FF2">
        <w:t xml:space="preserve"> sont très peu utilisées</w:t>
      </w:r>
      <w:r w:rsidR="00BB69DB">
        <w:t> : 37 150 séquences</w:t>
      </w:r>
      <w:r w:rsidR="00281EB8">
        <w:t>, soit 86%</w:t>
      </w:r>
      <w:r w:rsidR="00240463">
        <w:t>,</w:t>
      </w:r>
      <w:r w:rsidR="00BB69DB">
        <w:t xml:space="preserve"> ne sont utilisées que par un titre</w:t>
      </w:r>
      <w:r w:rsidR="00513FF2">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un des patrons, capturant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bookmarkStart w:id="31" w:name="_GoBack"/>
      <w:bookmarkEnd w:id="31"/>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lastRenderedPageBreak/>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1D79F0" w:rsidRPr="001D79F0" w:rsidRDefault="001D79F0" w:rsidP="001D79F0">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 +1,</w:t>
      </w:r>
      <w:r w:rsidR="00AB13A9">
        <w:t>44</w:t>
      </w:r>
      <w:r>
        <w:t>%. Il ne s’accord</w:t>
      </w:r>
      <w:r w:rsidR="000B34CD">
        <w:t>e</w:t>
      </w:r>
      <w:r>
        <w:t xml:space="preserve"> pas avec 2</w:t>
      </w:r>
      <w:r w:rsidR="005348DE">
        <w:t xml:space="preserve">1 750 </w:t>
      </w:r>
      <w:r>
        <w:t>séquences, soit 5</w:t>
      </w:r>
      <w:r w:rsidR="005348DE">
        <w:t>0</w:t>
      </w:r>
      <w:r>
        <w:t>.</w:t>
      </w:r>
      <w:r w:rsidR="005348DE">
        <w:t>65</w:t>
      </w:r>
      <w:r>
        <w:t>% et s’accord</w:t>
      </w:r>
      <w:r w:rsidR="000B34CD">
        <w:t>e</w:t>
      </w:r>
      <w:r>
        <w:t xml:space="preserve"> avec 42 606 titres, soit 49.81% et une amélioration de 1279 en absolu et 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un au</w:t>
      </w:r>
      <w:r w:rsidR="00000A5C">
        <w:t xml:space="preserve">tre radicalement différent, </w:t>
      </w:r>
      <w:r w:rsidR="00A60D3C">
        <w:t>en</w:t>
      </w:r>
      <w:r w:rsidR="00000A5C">
        <w:t xml:space="preserve"> capturant autre chose qu’un syntagme nominal incluant un syntagme prépositionnel ayant un nom.</w:t>
      </w:r>
      <w:r w:rsidR="000B34CD">
        <w:t xml:space="preserve"> </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2" w:name="_Toc519867085"/>
      <w:r>
        <w:t>IV. Études des trois patrons</w:t>
      </w:r>
      <w:bookmarkEnd w:id="32"/>
    </w:p>
    <w:p w:rsidR="00714BA6" w:rsidRDefault="00714BA6" w:rsidP="00F072D7">
      <w:pPr>
        <w:pStyle w:val="Titre2"/>
      </w:pPr>
      <w:bookmarkStart w:id="33" w:name="_Toc519867086"/>
      <w:r w:rsidRPr="00714BA6">
        <w:t>I</w:t>
      </w:r>
      <w:r w:rsidR="00F072D7">
        <w:t>V</w:t>
      </w:r>
      <w:r w:rsidRPr="00714BA6">
        <w:t>.</w:t>
      </w:r>
      <w:r w:rsidR="00F072D7">
        <w:t>1</w:t>
      </w:r>
      <w:r w:rsidRPr="00714BA6">
        <w:t xml:space="preserve"> Patron </w:t>
      </w:r>
      <w:r w:rsidR="00F072D7">
        <w:t xml:space="preserve">n°1 : </w:t>
      </w:r>
      <w:r>
        <w:t>syntagme nominal</w:t>
      </w:r>
      <w:bookmarkEnd w:id="33"/>
    </w:p>
    <w:p w:rsidR="00F072D7" w:rsidRPr="00F072D7" w:rsidRDefault="00F072D7" w:rsidP="00F072D7">
      <w:pPr>
        <w:pStyle w:val="Titre3"/>
      </w:pPr>
      <w:bookmarkStart w:id="34" w:name="_Toc519867087"/>
      <w:r>
        <w:t>IV.1.A Fiche d’identité</w:t>
      </w:r>
      <w:bookmarkEnd w:id="34"/>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C711DD">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t>Version étendue</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5A5EBD">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p>
    <w:p w:rsidR="005A5EBD" w:rsidRDefault="005A5EBD" w:rsidP="005A5EBD">
      <w:pPr>
        <w:pBdr>
          <w:bottom w:val="single" w:sz="4" w:space="1" w:color="4F81BD" w:themeColor="accent1"/>
        </w:pBdr>
      </w:pPr>
      <w:r>
        <w:tab/>
      </w:r>
      <w:r>
        <w:tab/>
      </w:r>
      <w:r>
        <w:tab/>
        <w:t>49.81% des titres de notre corpus (42 606 titres)</w:t>
      </w:r>
    </w:p>
    <w:p w:rsidR="00714BA6" w:rsidRDefault="00714BA6" w:rsidP="00F072D7">
      <w:pPr>
        <w:pStyle w:val="Titre2"/>
      </w:pPr>
      <w:bookmarkStart w:id="35" w:name="_Toc519867088"/>
      <w:r>
        <w:t>I</w:t>
      </w:r>
      <w:r w:rsidR="00F072D7">
        <w:t>V</w:t>
      </w:r>
      <w:r>
        <w:t>.</w:t>
      </w:r>
      <w:r w:rsidR="00F072D7">
        <w:t>2</w:t>
      </w:r>
      <w:r>
        <w:t xml:space="preserve"> Patron n°2 : syntagme prépositionnel</w:t>
      </w:r>
      <w:bookmarkEnd w:id="35"/>
    </w:p>
    <w:p w:rsidR="00F072D7" w:rsidRPr="00F072D7" w:rsidRDefault="00F072D7" w:rsidP="00F072D7">
      <w:pPr>
        <w:pStyle w:val="Titre3"/>
      </w:pPr>
      <w:bookmarkStart w:id="36" w:name="_Toc519867089"/>
      <w:r>
        <w:t>IV.2.A Fiche d’identité</w:t>
      </w:r>
      <w:bookmarkEnd w:id="36"/>
    </w:p>
    <w:p w:rsidR="001F32D6" w:rsidRDefault="001F32D6" w:rsidP="001F32D6">
      <w:pPr>
        <w:pBdr>
          <w:bottom w:val="single" w:sz="4" w:space="1" w:color="4F81BD" w:themeColor="accent1"/>
          <w:between w:val="single" w:sz="4" w:space="1" w:color="4F81BD" w:themeColor="accent1"/>
        </w:pBdr>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1F32D6" w:rsidRDefault="001F32D6" w:rsidP="001F32D6">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P NC</w:t>
      </w:r>
      <w:r w:rsidRPr="00714BA6">
        <w:rPr>
          <w:rStyle w:val="CodeCar"/>
          <w:bdr w:val="single" w:sz="4" w:space="0" w:color="4F81BD" w:themeColor="accent1"/>
        </w:rPr>
        <w:t xml:space="preserve"> P N</w:t>
      </w:r>
      <w:r>
        <w:rPr>
          <w:rStyle w:val="CodeCar"/>
          <w:bdr w:val="single" w:sz="4" w:space="0" w:color="4F81BD" w:themeColor="accent1"/>
        </w:rPr>
        <w:t>C</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1F32D6">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1F32D6" w:rsidRDefault="001F32D6" w:rsidP="001F32D6">
      <w:r w:rsidRPr="005A5EBD">
        <w:rPr>
          <w:b/>
          <w:color w:val="4F81BD" w:themeColor="accent1"/>
        </w:rPr>
        <w:t>Couverture du corpus</w:t>
      </w:r>
      <w:r>
        <w:tab/>
      </w:r>
      <w:r w:rsidRPr="001D79F0">
        <w:t>48.70%</w:t>
      </w:r>
      <w:r>
        <w:t xml:space="preserve"> des séquences de notre corpus (21 964 séquences)</w:t>
      </w:r>
    </w:p>
    <w:p w:rsidR="001F32D6" w:rsidRDefault="001F32D6" w:rsidP="00714BA6"/>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RPr="00A079FF"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A079FF" w:rsidRDefault="0089038F" w:rsidP="00AA06C1">
            <w:pPr>
              <w:rPr>
                <w:rFonts w:ascii="Consolas" w:hAnsi="Consolas" w:cs="Consolas"/>
                <w:lang w:val="en-US"/>
              </w:rPr>
            </w:pPr>
            <w:r w:rsidRPr="00944540">
              <w:rPr>
                <w:rFonts w:ascii="Consolas" w:hAnsi="Consolas" w:cs="Consolas"/>
                <w:lang w:val="en-US"/>
              </w:rPr>
              <w:t xml:space="preserve">DET? ADJ? [NC NPP] [NC NPP]? </w:t>
            </w:r>
            <w:r w:rsidRPr="00714BA6">
              <w:rPr>
                <w:rFonts w:ascii="Consolas" w:hAnsi="Consolas" w:cs="Consolas"/>
                <w:lang w:val="en-US"/>
              </w:rPr>
              <w:t xml:space="preserve">ADJ? [(P DET?) P+D] ADJ? </w:t>
            </w:r>
            <w:r w:rsidRPr="00A079FF">
              <w:rPr>
                <w:rFonts w:ascii="Consolas" w:hAnsi="Consolas" w:cs="Consolas"/>
                <w:lang w:val="en-US"/>
              </w:rPr>
              <w:t>[NC NPP] [NC NPP]? ADJ?</w:t>
            </w:r>
          </w:p>
        </w:tc>
        <w:tc>
          <w:tcPr>
            <w:tcW w:w="155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c>
          <w:tcPr>
            <w:tcW w:w="144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r w:rsidR="00761325">
        <w:t xml:space="preserve"> TROIS PATRONS</w:t>
      </w:r>
    </w:p>
    <w:p w:rsidR="0075783E" w:rsidRDefault="0075783E" w:rsidP="00F072D7">
      <w:pPr>
        <w:pStyle w:val="Titre2"/>
      </w:pPr>
      <w:bookmarkStart w:id="37" w:name="_Toc519867090"/>
      <w:r w:rsidRPr="0075783E">
        <w:t>I</w:t>
      </w:r>
      <w:r w:rsidR="00F072D7">
        <w:t>V</w:t>
      </w:r>
      <w:r w:rsidRPr="0075783E">
        <w:t>.3 Patron n°3 : syn</w:t>
      </w:r>
      <w:r>
        <w:t>tagme verbal</w:t>
      </w:r>
      <w:bookmarkEnd w:id="37"/>
    </w:p>
    <w:p w:rsidR="00F072D7" w:rsidRPr="00F072D7" w:rsidRDefault="00F072D7" w:rsidP="00F072D7">
      <w:pPr>
        <w:pStyle w:val="Titre3"/>
      </w:pPr>
      <w:bookmarkStart w:id="38" w:name="_Toc519867091"/>
      <w:r>
        <w:t>IV.2.A Fiche d’identité</w:t>
      </w:r>
      <w:bookmarkEnd w:id="38"/>
    </w:p>
    <w:p w:rsidR="00F072D7" w:rsidRDefault="00F072D7" w:rsidP="00F072D7">
      <w:pPr>
        <w:pStyle w:val="Titre3"/>
      </w:pPr>
      <w:bookmarkStart w:id="39" w:name="_Toc519867092"/>
      <w:r>
        <w:t>IV.2.B Exemples</w:t>
      </w:r>
      <w:bookmarkEnd w:id="39"/>
    </w:p>
    <w:p w:rsidR="00F072D7" w:rsidRDefault="00F072D7" w:rsidP="00F072D7">
      <w:pPr>
        <w:pStyle w:val="Titre3"/>
      </w:pPr>
      <w:bookmarkStart w:id="40" w:name="_Toc519867093"/>
      <w:r>
        <w:t>IV.2.C Statistiques</w:t>
      </w:r>
      <w:bookmarkEnd w:id="40"/>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41" w:name="_Toc519867094"/>
      <w:r w:rsidRPr="00632053">
        <w:lastRenderedPageBreak/>
        <w:t>V. Étude de structure</w:t>
      </w:r>
      <w:r w:rsidR="005A57E4">
        <w:t>s</w:t>
      </w:r>
      <w:r w:rsidRPr="00632053">
        <w:t xml:space="preserve"> particulière</w:t>
      </w:r>
      <w:r w:rsidR="005A57E4">
        <w:t>s</w:t>
      </w:r>
      <w:bookmarkEnd w:id="41"/>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42" w:name="_Toc519867095"/>
      <w:r>
        <w:t>V</w:t>
      </w:r>
      <w:r w:rsidR="00632053">
        <w:t>I</w:t>
      </w:r>
      <w:r>
        <w:t>. Résultats et discussions</w:t>
      </w:r>
      <w:bookmarkEnd w:id="42"/>
    </w:p>
    <w:p w:rsidR="000160A7" w:rsidRDefault="000160A7" w:rsidP="000160A7">
      <w:bookmarkStart w:id="43" w:name="_Toc519867096"/>
      <w:r>
        <w:t>PPP RESULTATS</w:t>
      </w:r>
    </w:p>
    <w:p w:rsidR="00632053" w:rsidRDefault="00632053" w:rsidP="00632053">
      <w:pPr>
        <w:pStyle w:val="Titre2"/>
      </w:pPr>
      <w:r>
        <w:t>VI.1 Résultats</w:t>
      </w:r>
      <w:bookmarkEnd w:id="43"/>
    </w:p>
    <w:p w:rsidR="007448C4" w:rsidRDefault="00632053" w:rsidP="00632053">
      <w:pPr>
        <w:pStyle w:val="Titre2"/>
      </w:pPr>
      <w:bookmarkStart w:id="44" w:name="_Toc519867097"/>
      <w:r>
        <w:t>VI</w:t>
      </w:r>
      <w:r w:rsidR="007448C4">
        <w:t>.</w:t>
      </w:r>
      <w:r>
        <w:t>2</w:t>
      </w:r>
      <w:r w:rsidR="007448C4">
        <w:t xml:space="preserve"> Discussions</w:t>
      </w:r>
      <w:bookmarkEnd w:id="44"/>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r>
      <w:proofErr w:type="spellStart"/>
      <w:r>
        <w:t>Talismane</w:t>
      </w:r>
      <w:proofErr w:type="spellEnd"/>
      <w:r>
        <w:t>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45" w:name="_Toc519867098"/>
      <w:r>
        <w:t>Conclusion</w:t>
      </w:r>
      <w:bookmarkEnd w:id="45"/>
    </w:p>
    <w:p w:rsidR="001D3ED8" w:rsidRDefault="001D3ED8" w:rsidP="007448C4">
      <w:r>
        <w:t>PPP CONCLUSION</w:t>
      </w:r>
    </w:p>
    <w:p w:rsidR="007448C4" w:rsidRDefault="00FA5EB4" w:rsidP="007448C4">
      <w:r w:rsidRPr="007448C4">
        <w:lastRenderedPageBreak/>
        <w:t>P</w:t>
      </w:r>
      <w:r w:rsidR="007448C4" w:rsidRPr="007448C4">
        <w:t>erspectives</w:t>
      </w:r>
    </w:p>
    <w:p w:rsidR="00FA5EB4" w:rsidRDefault="00FA5EB4">
      <w:pPr>
        <w:jc w:val="left"/>
      </w:pPr>
      <w:r>
        <w:br w:type="page"/>
      </w:r>
    </w:p>
    <w:bookmarkStart w:id="46" w:name="_Toc519867099"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46"/>
        </w:p>
        <w:sdt>
          <w:sdtPr>
            <w:id w:val="111145805"/>
            <w:bibliography/>
          </w:sdtPr>
          <w:sdtContent>
            <w:p w:rsidR="001D3ED8" w:rsidRPr="00944540" w:rsidRDefault="00496CC4" w:rsidP="001D3ED8">
              <w:pPr>
                <w:pStyle w:val="Bibliographie"/>
                <w:ind w:left="720" w:hanging="720"/>
                <w:rPr>
                  <w:noProof/>
                </w:rPr>
              </w:pPr>
              <w:r>
                <w:fldChar w:fldCharType="begin"/>
              </w:r>
              <w:r w:rsidRPr="00944540">
                <w:instrText>BIBLIOGRAPHY</w:instrText>
              </w:r>
              <w:r>
                <w:fldChar w:fldCharType="separate"/>
              </w:r>
              <w:r w:rsidR="001D3ED8" w:rsidRPr="00944540">
                <w:rPr>
                  <w:noProof/>
                </w:rPr>
                <w:t xml:space="preserve">Bray, T. (2017). </w:t>
              </w:r>
              <w:r w:rsidR="001D3ED8" w:rsidRPr="00944540">
                <w:rPr>
                  <w:i/>
                  <w:iCs/>
                  <w:noProof/>
                </w:rPr>
                <w:t>The JavaScript Object Notation (JSON) Data Interchange Format</w:t>
              </w:r>
              <w:r w:rsidR="001D3ED8" w:rsidRPr="00944540">
                <w:rPr>
                  <w:noProof/>
                </w:rPr>
                <w:t>. Retrieved from IETF Tools: https://tools.ietf.org/html/rfc8259</w:t>
              </w:r>
            </w:p>
            <w:p w:rsidR="001D3ED8" w:rsidRDefault="001D3ED8" w:rsidP="001D3ED8">
              <w:pPr>
                <w:pStyle w:val="Bibliographie"/>
                <w:ind w:left="720" w:hanging="720"/>
                <w:rPr>
                  <w:noProof/>
                  <w:lang w:val="en-US"/>
                </w:rPr>
              </w:pPr>
              <w:r w:rsidRPr="001D3ED8">
                <w:rPr>
                  <w:noProof/>
                </w:rPr>
                <w:t xml:space="preserve">Cori, M., &amp; David, S. (2008). Les corpus fondent-ils une nouvelle linguistique ? </w:t>
              </w:r>
              <w:r>
                <w:rPr>
                  <w:i/>
                  <w:iCs/>
                  <w:noProof/>
                  <w:lang w:val="en-US"/>
                </w:rPr>
                <w:t>Langages, (3)</w:t>
              </w:r>
              <w:r>
                <w:rPr>
                  <w:noProof/>
                  <w:lang w:val="en-US"/>
                </w:rPr>
                <w:t>, 111-129.</w:t>
              </w:r>
            </w:p>
            <w:p w:rsidR="001D3ED8" w:rsidRDefault="001D3ED8" w:rsidP="001D3ED8">
              <w:pPr>
                <w:pStyle w:val="Bibliographie"/>
                <w:ind w:left="720" w:hanging="720"/>
                <w:rPr>
                  <w:noProof/>
                  <w:lang w:val="en-US"/>
                </w:rPr>
              </w:pPr>
              <w:r>
                <w:rPr>
                  <w:noProof/>
                  <w:lang w:val="en-US"/>
                </w:rPr>
                <w:t xml:space="preserve">Haggan, M. (2004). Research paper titles in literature, linguistics and science: dimensions of attraction. </w:t>
              </w:r>
              <w:r>
                <w:rPr>
                  <w:i/>
                  <w:iCs/>
                  <w:noProof/>
                  <w:lang w:val="en-US"/>
                </w:rPr>
                <w:t>Journal of Pragmatics, 2.36</w:t>
              </w:r>
              <w:r>
                <w:rPr>
                  <w:noProof/>
                  <w:lang w:val="en-US"/>
                </w:rPr>
                <w:t>, 293-317.</w:t>
              </w:r>
            </w:p>
            <w:p w:rsidR="001D3ED8" w:rsidRPr="001D3ED8" w:rsidRDefault="001D3ED8" w:rsidP="001D3ED8">
              <w:pPr>
                <w:pStyle w:val="Bibliographie"/>
                <w:ind w:left="720" w:hanging="720"/>
                <w:rPr>
                  <w:noProof/>
                </w:rPr>
              </w:pPr>
              <w:r>
                <w:rPr>
                  <w:noProof/>
                  <w:lang w:val="en-US"/>
                </w:rPr>
                <w:t xml:space="preserve">Lewison, G., &amp; Hartley, J. (2005). What's in a title? Numbers of words and the presence of colons. </w:t>
              </w:r>
              <w:r w:rsidRPr="001D3ED8">
                <w:rPr>
                  <w:i/>
                  <w:iCs/>
                  <w:noProof/>
                </w:rPr>
                <w:t>Scientometrics, 63 (2)</w:t>
              </w:r>
              <w:r w:rsidRPr="001D3ED8">
                <w:rPr>
                  <w:noProof/>
                </w:rPr>
                <w:t>, 341-356.</w:t>
              </w:r>
            </w:p>
            <w:p w:rsidR="001D3ED8" w:rsidRPr="001D3ED8" w:rsidRDefault="001D3ED8" w:rsidP="001D3ED8">
              <w:pPr>
                <w:pStyle w:val="Bibliographie"/>
                <w:ind w:left="720" w:hanging="720"/>
                <w:rPr>
                  <w:noProof/>
                </w:rPr>
              </w:pPr>
              <w:r w:rsidRPr="001D3ED8">
                <w:rPr>
                  <w:noProof/>
                </w:rPr>
                <w:t xml:space="preserve">Maingueneau, D., Chiss, J.-L., &amp; Filliolet, J. (2007). </w:t>
              </w:r>
              <w:r w:rsidRPr="001D3ED8">
                <w:rPr>
                  <w:i/>
                  <w:iCs/>
                  <w:noProof/>
                </w:rPr>
                <w:t>Introduction à la linguistique française.</w:t>
              </w:r>
              <w:r w:rsidRPr="001D3ED8">
                <w:rPr>
                  <w:noProof/>
                </w:rPr>
                <w:t xml:space="preserve"> Hachette Éducation.</w:t>
              </w:r>
            </w:p>
            <w:p w:rsidR="001D3ED8" w:rsidRPr="001D3ED8" w:rsidRDefault="001D3ED8" w:rsidP="001D3ED8">
              <w:pPr>
                <w:pStyle w:val="Bibliographie"/>
                <w:ind w:left="720" w:hanging="720"/>
                <w:rPr>
                  <w:noProof/>
                </w:rPr>
              </w:pPr>
              <w:r w:rsidRPr="001D3ED8">
                <w:rPr>
                  <w:noProof/>
                </w:rPr>
                <w:t xml:space="preserve">Neveu, F. (2017). </w:t>
              </w:r>
              <w:r w:rsidRPr="001D3ED8">
                <w:rPr>
                  <w:i/>
                  <w:iCs/>
                  <w:noProof/>
                </w:rPr>
                <w:t>Lexique des notions linguistiques.</w:t>
              </w:r>
              <w:r w:rsidRPr="001D3ED8">
                <w:rPr>
                  <w:noProof/>
                </w:rPr>
                <w:t xml:space="preserve"> Armand Colin.</w:t>
              </w:r>
            </w:p>
            <w:p w:rsidR="001D3ED8" w:rsidRPr="001D3ED8" w:rsidRDefault="001D3ED8" w:rsidP="001D3ED8">
              <w:pPr>
                <w:pStyle w:val="Bibliographie"/>
                <w:ind w:left="720" w:hanging="720"/>
                <w:rPr>
                  <w:noProof/>
                </w:rPr>
              </w:pPr>
              <w:r w:rsidRPr="001D3ED8">
                <w:rPr>
                  <w:noProof/>
                </w:rPr>
                <w:t xml:space="preserve">Nivard, J. (2010). </w:t>
              </w:r>
              <w:r w:rsidRPr="001D3ED8">
                <w:rPr>
                  <w:i/>
                  <w:iCs/>
                  <w:noProof/>
                </w:rPr>
                <w:t>Les Archives ouvertes de l’EHESS</w:t>
              </w:r>
              <w:r w:rsidRPr="001D3ED8">
                <w:rPr>
                  <w:noProof/>
                </w:rPr>
                <w:t>. Retrieved from La Lettre de l'École des hautes études en sciences sociales, n°34: http://lettre.ehess.fr/index.php?5883</w:t>
              </w:r>
            </w:p>
            <w:p w:rsidR="001D3ED8" w:rsidRDefault="001D3ED8" w:rsidP="001D3ED8">
              <w:pPr>
                <w:pStyle w:val="Bibliographie"/>
                <w:ind w:left="720" w:hanging="720"/>
                <w:rPr>
                  <w:noProof/>
                  <w:lang w:val="en-US"/>
                </w:rPr>
              </w:pPr>
              <w:r w:rsidRPr="001D3ED8">
                <w:rPr>
                  <w:noProof/>
                </w:rPr>
                <w:t xml:space="preserve">Rebeyrolle, J., Jacques, M.-P., &amp; Péry-Woodley, M.-P. (2009). Titres et intertitres dans l'organisation du discours. </w:t>
              </w:r>
              <w:r>
                <w:rPr>
                  <w:i/>
                  <w:iCs/>
                  <w:noProof/>
                  <w:lang w:val="en-US"/>
                </w:rPr>
                <w:t>Journal of French Language Studies, 19</w:t>
              </w:r>
              <w:r>
                <w:rPr>
                  <w:noProof/>
                  <w:lang w:val="en-US"/>
                </w:rPr>
                <w:t>, 269-290.</w:t>
              </w:r>
            </w:p>
            <w:p w:rsidR="001D3ED8" w:rsidRDefault="001D3ED8" w:rsidP="001D3ED8">
              <w:pPr>
                <w:pStyle w:val="Bibliographie"/>
                <w:ind w:left="720" w:hanging="720"/>
                <w:rPr>
                  <w:noProof/>
                  <w:lang w:val="en-US"/>
                </w:rPr>
              </w:pPr>
              <w:r>
                <w:rPr>
                  <w:noProof/>
                  <w:lang w:val="en-US"/>
                </w:rPr>
                <w:t xml:space="preserve">Smiley, D., Pugh, E., Parisa, K., &amp; Mitchell, M. (2015). </w:t>
              </w:r>
              <w:r>
                <w:rPr>
                  <w:i/>
                  <w:iCs/>
                  <w:noProof/>
                  <w:lang w:val="en-US"/>
                </w:rPr>
                <w:t>Apache Solr enterprise search server.</w:t>
              </w:r>
              <w:r>
                <w:rPr>
                  <w:noProof/>
                  <w:lang w:val="en-US"/>
                </w:rPr>
                <w:t xml:space="preserve"> Birmingham: Packt Publishing Ltd.</w:t>
              </w:r>
            </w:p>
            <w:p w:rsidR="001D3ED8" w:rsidRDefault="001D3ED8" w:rsidP="001D3ED8">
              <w:pPr>
                <w:pStyle w:val="Bibliographie"/>
                <w:ind w:left="720" w:hanging="720"/>
                <w:rPr>
                  <w:noProof/>
                  <w:lang w:val="en-US"/>
                </w:rPr>
              </w:pPr>
              <w:r>
                <w:rPr>
                  <w:noProof/>
                  <w:lang w:val="en-US"/>
                </w:rPr>
                <w:t xml:space="preserve">Urieli, A. (2013). </w:t>
              </w:r>
              <w:r>
                <w:rPr>
                  <w:i/>
                  <w:iCs/>
                  <w:noProof/>
                  <w:lang w:val="en-US"/>
                </w:rPr>
                <w:t>Robust French syntax analysis: reconciling statistical methods and linguistic knowledge in the Talismane toolkit.</w:t>
              </w:r>
              <w:r>
                <w:rPr>
                  <w:noProof/>
                  <w:lang w:val="en-US"/>
                </w:rPr>
                <w:t xml:space="preserve"> Toulouse: Doctoral dissertation, Université de Toulouse II-Le Mirail.</w:t>
              </w:r>
            </w:p>
            <w:p w:rsidR="00496CC4" w:rsidRDefault="00496CC4" w:rsidP="001D3ED8">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47" w:name="_Toc519867100"/>
      <w:r>
        <w:lastRenderedPageBreak/>
        <w:t>Annexes</w:t>
      </w:r>
      <w:bookmarkEnd w:id="47"/>
    </w:p>
    <w:p w:rsidR="00447F0A" w:rsidRDefault="00447F0A" w:rsidP="00447F0A">
      <w:pPr>
        <w:pStyle w:val="Titre2"/>
      </w:pPr>
      <w:bookmarkStart w:id="48" w:name="_A1._Requêtes_Apache"/>
      <w:bookmarkStart w:id="49" w:name="_Toc519867101"/>
      <w:bookmarkEnd w:id="48"/>
      <w:r>
        <w:t xml:space="preserve">A1. Requêtes Apache </w:t>
      </w:r>
      <w:proofErr w:type="spellStart"/>
      <w:r>
        <w:t>Solr</w:t>
      </w:r>
      <w:proofErr w:type="spellEnd"/>
      <w:r>
        <w:t xml:space="preserve"> sur HAL</w:t>
      </w:r>
      <w:bookmarkEnd w:id="49"/>
    </w:p>
    <w:p w:rsidR="00285755" w:rsidRPr="00285755" w:rsidRDefault="00285755" w:rsidP="00285755">
      <w:pPr>
        <w:pStyle w:val="Titre3"/>
      </w:pPr>
      <w:bookmarkStart w:id="50" w:name="_Toc519867102"/>
      <w:r>
        <w:t>A1.A Requêtes</w:t>
      </w:r>
      <w:bookmarkEnd w:id="50"/>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1"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776E6">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5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peut demander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285755">
        <w:rPr>
          <w:rFonts w:ascii="Calibri" w:eastAsia="SimSun" w:hAnsi="Calibri" w:cs="Times New Roman"/>
          <w:i/>
        </w:rPr>
        <w:t>suivants</w:t>
      </w:r>
      <w:r w:rsidRPr="00285755">
        <w:rPr>
          <w:rFonts w:ascii="Calibri" w:eastAsia="SimSun" w:hAnsi="Calibri" w:cs="Times New Roman"/>
        </w:rPr>
        <w:t xml:space="preserve">. Les deux requêtes suivantes (Requêtes 2a et 2b), la première de création,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2"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776E6">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5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pouvons à présent nous pencher sur les résultats de ces requêtes qui vont constituer notre corpus.</w:t>
      </w:r>
    </w:p>
    <w:p w:rsidR="00285755" w:rsidRPr="00285755" w:rsidRDefault="00285755" w:rsidP="00285755">
      <w:pPr>
        <w:pStyle w:val="Titre3"/>
        <w:rPr>
          <w:rFonts w:eastAsia="Times New Roman"/>
        </w:rPr>
      </w:pPr>
      <w:bookmarkStart w:id="53" w:name="_Toc504428861"/>
      <w:bookmarkStart w:id="54" w:name="_Toc519867103"/>
      <w:r>
        <w:rPr>
          <w:rFonts w:eastAsia="Times New Roman"/>
        </w:rPr>
        <w:t>A1.B</w:t>
      </w:r>
      <w:r w:rsidRPr="00285755">
        <w:rPr>
          <w:rFonts w:eastAsia="Times New Roman"/>
        </w:rPr>
        <w:t xml:space="preserve"> Résultats</w:t>
      </w:r>
      <w:bookmarkEnd w:id="53"/>
      <w:bookmarkEnd w:id="5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w:t>
      </w:r>
      <w:r w:rsidRPr="00285755">
        <w:rPr>
          <w:rFonts w:ascii="Calibri" w:eastAsia="SimSun" w:hAnsi="Calibri" w:cs="Times New Roman"/>
        </w:rPr>
        <w:lastRenderedPageBreak/>
        <w:t xml:space="preserve">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Résultat 3 présente un élément tiré d’un exemple de résultat de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5" w:name="_Toc50442883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776E6">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55"/>
    </w:p>
    <w:p w:rsidR="00285755" w:rsidRPr="00285755" w:rsidRDefault="00285755" w:rsidP="00285755">
      <w:pPr>
        <w:spacing w:after="120" w:line="256" w:lineRule="auto"/>
        <w:ind w:firstLine="709"/>
        <w:rPr>
          <w:rFonts w:ascii="Calibri" w:eastAsia="SimSun" w:hAnsi="Calibri" w:cs="Times New Roman"/>
        </w:rPr>
      </w:pPr>
      <w:r w:rsidRPr="00285755">
        <w:rPr>
          <w:rFonts w:ascii="Calibri" w:eastAsia="SimSun" w:hAnsi="Calibri" w:cs="Times New Roman"/>
        </w:rPr>
        <w:t xml:space="preserve">Un premier jeu de données, retravaillé à partir de requêtes à HAL pour être mis dans un format tabulaire, nous a été fourni par M. Tanguy le 20 octobre 2017. Il s’agit de notre premier corpus de travail. Il comporte 146 603 titres, accompagnées d’informations supplémentaires que nous détaillons dans le paragraphe suivant. Sa taille le rapproche bien plus de celui utilisé par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que de tous les autres, même si ce dernier reste plus de deux fois plus volumineux. C’est ce premier jeu qui nous a servi pour nos réflexions et forger notre problématique.</w:t>
      </w:r>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extrinsèques, mais elles sont très intéressantes pour nous aider à mieux comprendre le titre. 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 xml:space="preserve">Ces métadonnées pourront ensuite être mises en relation avec une caractérise intrinsèque du titre. Des auteurs avaient déjà mis en avant certaines régularités. </w:t>
      </w:r>
      <w:proofErr w:type="spellStart"/>
      <w:r w:rsidRPr="00285755">
        <w:rPr>
          <w:rFonts w:ascii="Calibri" w:eastAsia="SimSun" w:hAnsi="Calibri" w:cs="Times New Roman"/>
        </w:rPr>
        <w:t>Haggan</w:t>
      </w:r>
      <w:proofErr w:type="spellEnd"/>
      <w:r w:rsidRPr="00285755">
        <w:rPr>
          <w:rFonts w:ascii="Calibri" w:eastAsia="SimSun" w:hAnsi="Calibri" w:cs="Times New Roman"/>
        </w:rPr>
        <w:t xml:space="preserve"> (2004) avait par exemple montré que l’utilisation d’une phrase complète pour titre était une caractéristique des titres en biologie.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ont montré que plus il y a d’auteurs, plus le titre aura tendance à être long jusqu’à un plateau de 11 mots à partir de 4 auteurs. En guise d’exemple, Résultat 4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6" w:name="_Toc5044288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8776E6">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56"/>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Après cette présentation de nos données de travail, nous prouvons entrer dans le vif de celui-ci en dévoilant nos premières analyses de ces données.</w:t>
      </w:r>
    </w:p>
    <w:p w:rsidR="00447F0A" w:rsidRDefault="00123170" w:rsidP="004E6AB3">
      <w:pPr>
        <w:pStyle w:val="Titre2"/>
      </w:pPr>
      <w:bookmarkStart w:id="57" w:name="_Toc519867104"/>
      <w:r>
        <w:t>AX</w:t>
      </w:r>
      <w:r w:rsidR="004E6AB3">
        <w:t>.</w:t>
      </w:r>
      <w:r>
        <w:t xml:space="preserve"> </w:t>
      </w:r>
      <w:r w:rsidR="004E6AB3">
        <w:t>Index des l</w:t>
      </w:r>
      <w:r>
        <w:t>ogiciels</w:t>
      </w:r>
      <w:r w:rsidR="004E6AB3">
        <w:t xml:space="preserve"> et technologies</w:t>
      </w:r>
      <w:r>
        <w:t xml:space="preserve"> mentionnés</w:t>
      </w:r>
      <w:bookmarkEnd w:id="57"/>
    </w:p>
    <w:p w:rsidR="00FA5EB4" w:rsidRDefault="004E6AB3" w:rsidP="007448C4">
      <w:pPr>
        <w:rPr>
          <w:noProof/>
        </w:rPr>
        <w:sectPr w:rsidR="00FA5EB4" w:rsidSect="00FA5EB4">
          <w:footerReference w:type="default" r:id="rId11"/>
          <w:footerReference w:type="first" r:id="rId12"/>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FA5EB4" w:rsidRDefault="00FA5EB4">
      <w:pPr>
        <w:pStyle w:val="Index1"/>
        <w:tabs>
          <w:tab w:val="right" w:leader="dot" w:pos="4166"/>
        </w:tabs>
        <w:rPr>
          <w:noProof/>
        </w:rPr>
      </w:pPr>
      <w:r>
        <w:rPr>
          <w:noProof/>
        </w:rPr>
        <w:t>Apache Lucene</w:t>
      </w:r>
      <w:r>
        <w:rPr>
          <w:noProof/>
        </w:rPr>
        <w:tab/>
        <w:t>8</w:t>
      </w:r>
    </w:p>
    <w:p w:rsidR="00FA5EB4" w:rsidRDefault="00FA5EB4">
      <w:pPr>
        <w:pStyle w:val="Index1"/>
        <w:tabs>
          <w:tab w:val="right" w:leader="dot" w:pos="4166"/>
        </w:tabs>
        <w:rPr>
          <w:noProof/>
        </w:rPr>
      </w:pPr>
      <w:r>
        <w:rPr>
          <w:noProof/>
        </w:rPr>
        <w:t>Apache Solr</w:t>
      </w:r>
      <w:r>
        <w:rPr>
          <w:noProof/>
        </w:rPr>
        <w:tab/>
        <w:t>8</w:t>
      </w:r>
    </w:p>
    <w:p w:rsidR="00FA5EB4" w:rsidRDefault="00FA5EB4">
      <w:pPr>
        <w:pStyle w:val="Index1"/>
        <w:tabs>
          <w:tab w:val="right" w:leader="dot" w:pos="4166"/>
        </w:tabs>
        <w:rPr>
          <w:noProof/>
        </w:rPr>
      </w:pPr>
      <w:r>
        <w:rPr>
          <w:noProof/>
        </w:rPr>
        <w:t>CoNLL-U</w:t>
      </w:r>
      <w:r>
        <w:rPr>
          <w:noProof/>
        </w:rPr>
        <w:tab/>
        <w:t>9</w:t>
      </w:r>
    </w:p>
    <w:p w:rsidR="00FA5EB4" w:rsidRDefault="00FA5EB4">
      <w:pPr>
        <w:pStyle w:val="Index1"/>
        <w:tabs>
          <w:tab w:val="right" w:leader="dot" w:pos="4166"/>
        </w:tabs>
        <w:rPr>
          <w:noProof/>
        </w:rPr>
      </w:pPr>
      <w:r>
        <w:rPr>
          <w:noProof/>
        </w:rPr>
        <w:t>CSV</w:t>
      </w:r>
      <w:r>
        <w:rPr>
          <w:noProof/>
        </w:rPr>
        <w:tab/>
        <w:t>8</w:t>
      </w:r>
    </w:p>
    <w:p w:rsidR="00FA5EB4" w:rsidRDefault="00FA5EB4">
      <w:pPr>
        <w:pStyle w:val="Index1"/>
        <w:tabs>
          <w:tab w:val="right" w:leader="dot" w:pos="4166"/>
        </w:tabs>
        <w:rPr>
          <w:noProof/>
        </w:rPr>
      </w:pPr>
      <w:r>
        <w:rPr>
          <w:noProof/>
        </w:rPr>
        <w:lastRenderedPageBreak/>
        <w:t>Excel</w:t>
      </w:r>
      <w:r>
        <w:rPr>
          <w:noProof/>
        </w:rPr>
        <w:tab/>
        <w:t>6</w:t>
      </w:r>
    </w:p>
    <w:p w:rsidR="00FA5EB4" w:rsidRDefault="00FA5EB4">
      <w:pPr>
        <w:pStyle w:val="Index1"/>
        <w:tabs>
          <w:tab w:val="right" w:leader="dot" w:pos="4166"/>
        </w:tabs>
        <w:rPr>
          <w:noProof/>
        </w:rPr>
      </w:pPr>
      <w:r>
        <w:rPr>
          <w:noProof/>
        </w:rPr>
        <w:t>HTTP</w:t>
      </w:r>
      <w:r>
        <w:rPr>
          <w:noProof/>
        </w:rPr>
        <w:tab/>
        <w:t>8</w:t>
      </w:r>
    </w:p>
    <w:p w:rsidR="00FA5EB4" w:rsidRDefault="00FA5EB4">
      <w:pPr>
        <w:pStyle w:val="Index1"/>
        <w:tabs>
          <w:tab w:val="right" w:leader="dot" w:pos="4166"/>
        </w:tabs>
        <w:rPr>
          <w:noProof/>
        </w:rPr>
      </w:pPr>
      <w:r>
        <w:rPr>
          <w:noProof/>
        </w:rPr>
        <w:t>JSON</w:t>
      </w:r>
      <w:r>
        <w:rPr>
          <w:noProof/>
        </w:rPr>
        <w:tab/>
        <w:t>8</w:t>
      </w:r>
    </w:p>
    <w:p w:rsidR="00FA5EB4" w:rsidRDefault="00FA5EB4">
      <w:pPr>
        <w:pStyle w:val="Index1"/>
        <w:tabs>
          <w:tab w:val="right" w:leader="dot" w:pos="4166"/>
        </w:tabs>
        <w:rPr>
          <w:noProof/>
        </w:rPr>
      </w:pPr>
      <w:r>
        <w:rPr>
          <w:noProof/>
        </w:rPr>
        <w:t>langdetect</w:t>
      </w:r>
      <w:r>
        <w:rPr>
          <w:noProof/>
        </w:rPr>
        <w:tab/>
        <w:t>12</w:t>
      </w:r>
    </w:p>
    <w:p w:rsidR="00FA5EB4" w:rsidRDefault="00FA5EB4">
      <w:pPr>
        <w:pStyle w:val="Index1"/>
        <w:tabs>
          <w:tab w:val="right" w:leader="dot" w:pos="4166"/>
        </w:tabs>
        <w:rPr>
          <w:noProof/>
        </w:rPr>
      </w:pPr>
      <w:r>
        <w:rPr>
          <w:noProof/>
        </w:rPr>
        <w:t>Open Archives Initiative Protocol for Metadata Harvesting (OAI-PMH)</w:t>
      </w:r>
      <w:r>
        <w:rPr>
          <w:noProof/>
        </w:rPr>
        <w:tab/>
        <w:t>8</w:t>
      </w:r>
    </w:p>
    <w:p w:rsidR="00FA5EB4" w:rsidRDefault="00FA5EB4">
      <w:pPr>
        <w:pStyle w:val="Index1"/>
        <w:tabs>
          <w:tab w:val="right" w:leader="dot" w:pos="4166"/>
        </w:tabs>
        <w:rPr>
          <w:noProof/>
        </w:rPr>
      </w:pPr>
      <w:r>
        <w:rPr>
          <w:noProof/>
        </w:rPr>
        <w:t>protocole de transfert hypertexte</w:t>
      </w:r>
      <w:r>
        <w:rPr>
          <w:noProof/>
        </w:rPr>
        <w:tab/>
      </w:r>
      <w:r w:rsidRPr="000111C9">
        <w:rPr>
          <w:i/>
          <w:noProof/>
        </w:rPr>
        <w:t>HTTP</w:t>
      </w:r>
    </w:p>
    <w:p w:rsidR="00FA5EB4" w:rsidRDefault="00FA5EB4">
      <w:pPr>
        <w:pStyle w:val="Index1"/>
        <w:tabs>
          <w:tab w:val="right" w:leader="dot" w:pos="4166"/>
        </w:tabs>
        <w:rPr>
          <w:noProof/>
        </w:rPr>
      </w:pPr>
      <w:r>
        <w:rPr>
          <w:noProof/>
        </w:rPr>
        <w:t>Python</w:t>
      </w:r>
      <w:r>
        <w:rPr>
          <w:noProof/>
        </w:rPr>
        <w:tab/>
        <w:t>6</w:t>
      </w:r>
    </w:p>
    <w:p w:rsidR="00FA5EB4" w:rsidRDefault="00FA5EB4">
      <w:pPr>
        <w:pStyle w:val="Index1"/>
        <w:tabs>
          <w:tab w:val="right" w:leader="dot" w:pos="4166"/>
        </w:tabs>
        <w:rPr>
          <w:noProof/>
        </w:rPr>
      </w:pPr>
      <w:r>
        <w:rPr>
          <w:noProof/>
        </w:rPr>
        <w:t>Stanford Core Natural Language Processing</w:t>
      </w:r>
      <w:r>
        <w:rPr>
          <w:noProof/>
        </w:rPr>
        <w:tab/>
        <w:t>9</w:t>
      </w:r>
    </w:p>
    <w:p w:rsidR="00FA5EB4" w:rsidRDefault="00FA5EB4">
      <w:pPr>
        <w:pStyle w:val="Index1"/>
        <w:tabs>
          <w:tab w:val="right" w:leader="dot" w:pos="4166"/>
        </w:tabs>
        <w:rPr>
          <w:noProof/>
        </w:rPr>
      </w:pPr>
      <w:r>
        <w:rPr>
          <w:noProof/>
        </w:rPr>
        <w:t>Talismane</w:t>
      </w:r>
      <w:r>
        <w:rPr>
          <w:noProof/>
        </w:rPr>
        <w:tab/>
        <w:t>9</w:t>
      </w:r>
    </w:p>
    <w:p w:rsidR="00FA5EB4" w:rsidRDefault="00FA5EB4">
      <w:pPr>
        <w:pStyle w:val="Index1"/>
        <w:tabs>
          <w:tab w:val="right" w:leader="dot" w:pos="4166"/>
        </w:tabs>
        <w:rPr>
          <w:noProof/>
        </w:rPr>
      </w:pPr>
      <w:r>
        <w:rPr>
          <w:noProof/>
        </w:rPr>
        <w:t>XML</w:t>
      </w:r>
      <w:r>
        <w:rPr>
          <w:noProof/>
        </w:rPr>
        <w:tab/>
        <w:t>8</w:t>
      </w:r>
    </w:p>
    <w:p w:rsidR="00FA5EB4" w:rsidRDefault="00FA5EB4" w:rsidP="007448C4">
      <w:pPr>
        <w:rPr>
          <w:noProof/>
        </w:rPr>
        <w:sectPr w:rsidR="00FA5EB4" w:rsidSect="00FA5EB4">
          <w:type w:val="continuous"/>
          <w:pgSz w:w="11906" w:h="16838"/>
          <w:pgMar w:top="1417" w:right="1417" w:bottom="1417" w:left="1417" w:header="708" w:footer="708" w:gutter="0"/>
          <w:cols w:num="2" w:space="720"/>
          <w:titlePg/>
          <w:docGrid w:linePitch="360"/>
        </w:sectPr>
      </w:pPr>
    </w:p>
    <w:p w:rsidR="00756CB8" w:rsidRDefault="004E6AB3" w:rsidP="007448C4">
      <w:r>
        <w:fldChar w:fldCharType="end"/>
      </w:r>
    </w:p>
    <w:p w:rsidR="00123170" w:rsidRDefault="00756CB8" w:rsidP="00756CB8">
      <w:pPr>
        <w:pStyle w:val="Titre2"/>
      </w:pPr>
      <w:bookmarkStart w:id="58" w:name="_Toc519867105"/>
      <w:r>
        <w:t xml:space="preserve">AY. Codes des étiquettes de catégorie de discours de </w:t>
      </w:r>
      <w:proofErr w:type="spellStart"/>
      <w:r>
        <w:t>Talismane</w:t>
      </w:r>
      <w:bookmarkEnd w:id="58"/>
      <w:proofErr w:type="spellEnd"/>
    </w:p>
    <w:p w:rsidR="00756CB8" w:rsidRDefault="0004062A" w:rsidP="007448C4">
      <w:r>
        <w:t>AZ. Index des notions</w:t>
      </w:r>
    </w:p>
    <w:p w:rsidR="0004062A" w:rsidRDefault="0004062A" w:rsidP="007448C4">
      <w:r>
        <w:t>Syntagme, Séquence</w:t>
      </w:r>
    </w:p>
    <w:p w:rsidR="007448C4" w:rsidRDefault="007448C4" w:rsidP="007448C4">
      <w:r>
        <w:t xml:space="preserve">Table des requêtes et résultats </w:t>
      </w:r>
    </w:p>
    <w:p w:rsidR="007448C4" w:rsidRDefault="007448C4" w:rsidP="007448C4">
      <w:r>
        <w:t xml:space="preserve">Table des tableaux </w:t>
      </w:r>
    </w:p>
    <w:p w:rsidR="007448C4" w:rsidRDefault="00E225A8" w:rsidP="001F0E2C">
      <w:r>
        <w:t>Ensemble de fichier</w:t>
      </w:r>
    </w:p>
    <w:p w:rsidR="00E225A8" w:rsidRPr="00840142" w:rsidRDefault="00E225A8" w:rsidP="001F0E2C">
      <w:r w:rsidRPr="00840142">
        <w:t>Corpus XML 450 Mo 40 Mo (zippé)</w:t>
      </w:r>
    </w:p>
    <w:p w:rsidR="0086143C" w:rsidRPr="00935275" w:rsidRDefault="0086143C" w:rsidP="001F0E2C">
      <w:r w:rsidRPr="00935275">
        <w:t>Spécification de mon format ?</w:t>
      </w:r>
    </w:p>
    <w:p w:rsidR="00E225A8" w:rsidRPr="00935275" w:rsidRDefault="00E225A8" w:rsidP="001F0E2C"/>
    <w:tbl>
      <w:tblPr>
        <w:tblStyle w:val="Grilledutableau2"/>
        <w:tblW w:w="0" w:type="auto"/>
        <w:tblLook w:val="04A0" w:firstRow="1" w:lastRow="0" w:firstColumn="1" w:lastColumn="0" w:noHBand="0" w:noVBand="1"/>
      </w:tblPr>
      <w:tblGrid>
        <w:gridCol w:w="3070"/>
        <w:gridCol w:w="3071"/>
        <w:gridCol w:w="3071"/>
      </w:tblGrid>
      <w:tr w:rsidR="0086143C" w:rsidRPr="0086143C" w:rsidTr="0086143C">
        <w:tc>
          <w:tcPr>
            <w:tcW w:w="3070"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Nom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Type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Signification</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title</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Le titre en lui-même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words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mots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pos_tags</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 xml:space="preserve">Liste de chaîne de caractères fixées par Stanford </w:t>
            </w:r>
            <w:proofErr w:type="spellStart"/>
            <w:r w:rsidRPr="0086143C">
              <w:rPr>
                <w:rFonts w:ascii="Calibri" w:eastAsia="Calibri" w:hAnsi="Calibri" w:cs="Times New Roman"/>
              </w:rPr>
              <w:t>Core</w:t>
            </w:r>
            <w:proofErr w:type="spellEnd"/>
            <w:r w:rsidRPr="0086143C">
              <w:rPr>
                <w:rFonts w:ascii="Calibri" w:eastAsia="Calibri" w:hAnsi="Calibri" w:cs="Times New Roman"/>
              </w:rPr>
              <w:t xml:space="preserve"> NLP</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étiquettes de catégorie du discours</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authors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auteurs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docid</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Entier</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Identifiant de la notice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kind</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 fixées par HAL</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Type du document référencé</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date</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Année de dernière modification</w:t>
            </w:r>
          </w:p>
        </w:tc>
      </w:tr>
    </w:tbl>
    <w:p w:rsidR="007448C4" w:rsidRDefault="0086143C" w:rsidP="0086143C">
      <w:pPr>
        <w:jc w:val="center"/>
        <w:rPr>
          <w:rFonts w:ascii="Calibri" w:eastAsia="Calibri" w:hAnsi="Calibri" w:cs="Times New Roman"/>
          <w:i/>
        </w:rPr>
      </w:pPr>
      <w:r w:rsidRPr="0086143C">
        <w:rPr>
          <w:rFonts w:ascii="Calibri" w:eastAsia="Calibri" w:hAnsi="Calibri" w:cs="Times New Roman"/>
          <w:i/>
        </w:rPr>
        <w:t>Les attributs de la structure de données « </w:t>
      </w:r>
      <w:proofErr w:type="spellStart"/>
      <w:r w:rsidRPr="0086143C">
        <w:rPr>
          <w:rFonts w:ascii="Calibri" w:eastAsia="Calibri" w:hAnsi="Calibri" w:cs="Times New Roman"/>
          <w:i/>
        </w:rPr>
        <w:t>Title</w:t>
      </w:r>
      <w:proofErr w:type="spellEnd"/>
      <w:r w:rsidRPr="0086143C">
        <w:rPr>
          <w:rFonts w:ascii="Calibri" w:eastAsia="Calibri" w:hAnsi="Calibri" w:cs="Times New Roman"/>
          <w:i/>
        </w:rPr>
        <w:t> » en mémoire</w:t>
      </w:r>
    </w:p>
    <w:p w:rsidR="0086143C" w:rsidRDefault="0086143C" w:rsidP="0086143C">
      <w:r>
        <w:t>A.1 Le dépôt</w:t>
      </w:r>
    </w:p>
    <w:p w:rsidR="0086143C" w:rsidRDefault="0086143C" w:rsidP="0086143C">
      <w:r>
        <w:t>Tout est le code Python est public et stocké sur la plateforme GitHub à cette adresse :</w:t>
      </w:r>
    </w:p>
    <w:p w:rsidR="0086143C" w:rsidRDefault="0086143C" w:rsidP="0086143C">
      <w:r>
        <w:t>https://github.com/Xitog/tal</w:t>
      </w:r>
    </w:p>
    <w:p w:rsidR="0086143C" w:rsidRDefault="0086143C" w:rsidP="0086143C">
      <w:r>
        <w:t>Il est composé de 3 fichiers qui correspondent chacun à une étape :</w:t>
      </w:r>
    </w:p>
    <w:p w:rsidR="0086143C" w:rsidRDefault="0086143C" w:rsidP="0086143C">
      <w:r>
        <w:t>-</w:t>
      </w:r>
      <w:r>
        <w:tab/>
        <w:t>corpus1.py : récupération des données brutes de HAL (correspond au chapitre I.1)</w:t>
      </w:r>
    </w:p>
    <w:p w:rsidR="0086143C" w:rsidRDefault="0086143C" w:rsidP="0086143C">
      <w:r>
        <w:t>-</w:t>
      </w:r>
      <w:r>
        <w:tab/>
        <w:t xml:space="preserve">corpus2.py : traitement des données brutes pour obtenir le corpus de travail (correspond aux chapitres I.2 </w:t>
      </w:r>
      <w:proofErr w:type="spellStart"/>
      <w:r>
        <w:t>à</w:t>
      </w:r>
      <w:proofErr w:type="spellEnd"/>
      <w:r>
        <w:t xml:space="preserve"> I.6).</w:t>
      </w:r>
    </w:p>
    <w:p w:rsidR="0086143C" w:rsidRDefault="0086143C" w:rsidP="0086143C">
      <w:r>
        <w:t>-</w:t>
      </w:r>
      <w:r>
        <w:tab/>
        <w:t>corpus3.py : traitement du corpus de travail (correspond au chapitre II).</w:t>
      </w:r>
    </w:p>
    <w:p w:rsidR="0086143C" w:rsidRDefault="0086143C" w:rsidP="0086143C">
      <w:r>
        <w:t>corpus3.py utilise certains éléments de corpus2.py.</w:t>
      </w:r>
    </w:p>
    <w:p w:rsidR="0086143C" w:rsidRDefault="0086143C" w:rsidP="0086143C">
      <w:r>
        <w:lastRenderedPageBreak/>
        <w:t xml:space="preserve">Le code n’a pas été contrôlé par un outil de mesure de qualité automatique comme </w:t>
      </w:r>
      <w:proofErr w:type="spellStart"/>
      <w:r>
        <w:t>PyLint</w:t>
      </w:r>
      <w:proofErr w:type="spellEnd"/>
      <w:r>
        <w:t>.</w:t>
      </w:r>
    </w:p>
    <w:p w:rsidR="0086143C" w:rsidRDefault="0086143C" w:rsidP="0086143C">
      <w:r>
        <w:t xml:space="preserve">https://www.pylint.org/ </w:t>
      </w:r>
    </w:p>
    <w:p w:rsidR="0086143C" w:rsidRDefault="0086143C" w:rsidP="0086143C">
      <w:r>
        <w:t xml:space="preserve">Ce dépôt contient également le corpus de travail au format zip : </w:t>
      </w:r>
    </w:p>
    <w:p w:rsidR="0086143C" w:rsidRDefault="0086143C" w:rsidP="0086143C">
      <w:r>
        <w:t xml:space="preserve">https://github.com/Xitog/tal/raw/master/output_dump_repo/dump.zip </w:t>
      </w:r>
    </w:p>
    <w:p w:rsidR="0086143C" w:rsidRDefault="0086143C" w:rsidP="0086143C">
      <w:r>
        <w:t>Ainsi que le lexique obtenu à partir des données brutes :</w:t>
      </w:r>
    </w:p>
    <w:p w:rsidR="0086143C" w:rsidRDefault="0086143C" w:rsidP="0086143C">
      <w:r>
        <w:t xml:space="preserve">https://github.com/Xitog/tal/blob/master/output_lexicon/lexicon.xlsx </w:t>
      </w:r>
    </w:p>
    <w:p w:rsidR="0086143C" w:rsidRDefault="0086143C" w:rsidP="0086143C">
      <w:r>
        <w:t>Et les différents documents de présentation et liaison.</w:t>
      </w:r>
    </w:p>
    <w:p w:rsidR="0086143C" w:rsidRDefault="0086143C" w:rsidP="0086143C">
      <w:r>
        <w:t>A.2 Les bibliothèques</w:t>
      </w:r>
    </w:p>
    <w:p w:rsidR="0086143C" w:rsidRDefault="0086143C" w:rsidP="0086143C">
      <w:r>
        <w:t xml:space="preserve">Nous utilisons la bibliothèque </w:t>
      </w:r>
      <w:proofErr w:type="spellStart"/>
      <w:r>
        <w:t>openpyxl</w:t>
      </w:r>
      <w:proofErr w:type="spellEnd"/>
      <w:r>
        <w:t xml:space="preserve"> pour la gestion du format Excel XLSX. Celui comporte l’avantage par rapport au format Excel XLS de pouvoir dépasser plus de 65 535 lignes par onglet.</w:t>
      </w:r>
    </w:p>
    <w:p w:rsidR="0086143C" w:rsidRDefault="0086143C" w:rsidP="0086143C">
      <w:r>
        <w:t xml:space="preserve">https://openpyxl.readthedocs.io/en/stable/ </w:t>
      </w:r>
    </w:p>
    <w:p w:rsidR="0086143C" w:rsidRDefault="0086143C" w:rsidP="0086143C">
      <w:r>
        <w:t>Elle est plus puissante que la première que j’avais utilisée, l’ensemble XLRD et XLWT qui gère le format XLS. Mais la documentation d’</w:t>
      </w:r>
      <w:proofErr w:type="spellStart"/>
      <w:r>
        <w:t>openpyxl</w:t>
      </w:r>
      <w:proofErr w:type="spellEnd"/>
      <w:r>
        <w:t xml:space="preserve"> est néanmoins plus complexe.</w:t>
      </w:r>
    </w:p>
    <w:p w:rsidR="0086143C" w:rsidRDefault="0086143C" w:rsidP="0086143C">
      <w:r>
        <w:t>Pour le chargement progressif du XML, j’utilise la bibliothèque standard, plus particulièrement :</w:t>
      </w:r>
    </w:p>
    <w:p w:rsidR="0086143C" w:rsidRDefault="0086143C" w:rsidP="0086143C">
      <w:proofErr w:type="spellStart"/>
      <w:r>
        <w:t>xml.etree.ElementTree</w:t>
      </w:r>
      <w:proofErr w:type="spellEnd"/>
    </w:p>
    <w:p w:rsidR="0086143C" w:rsidRDefault="0086143C" w:rsidP="0086143C">
      <w:r>
        <w:t xml:space="preserve">Pour la connexion avec Stanford </w:t>
      </w:r>
      <w:proofErr w:type="spellStart"/>
      <w:r>
        <w:t>Core</w:t>
      </w:r>
      <w:proofErr w:type="spellEnd"/>
      <w:r>
        <w:t xml:space="preserve"> NLP, j’utilise cette bibliothèque, qui permet depuis Python de choisir la langue cible ainsi que la quantité de mémoire : </w:t>
      </w:r>
    </w:p>
    <w:p w:rsidR="0086143C" w:rsidRDefault="0086143C" w:rsidP="0086143C">
      <w:r>
        <w:t xml:space="preserve">https://github.com/Lynten/stanford-corenlp </w:t>
      </w:r>
    </w:p>
    <w:p w:rsidR="0086143C" w:rsidRDefault="0086143C" w:rsidP="0086143C">
      <w:r>
        <w:t xml:space="preserve">Le site officiel de Stanford </w:t>
      </w:r>
      <w:proofErr w:type="spellStart"/>
      <w:r>
        <w:t>Core</w:t>
      </w:r>
      <w:proofErr w:type="spellEnd"/>
      <w:r>
        <w:t xml:space="preserve"> NLP est : https://stanfordnlp.github.io/CoreNLP/ </w:t>
      </w:r>
    </w:p>
    <w:p w:rsidR="0086143C" w:rsidRPr="0086143C" w:rsidRDefault="0086143C" w:rsidP="0086143C">
      <w:r>
        <w:t xml:space="preserve">La bibliothèque </w:t>
      </w:r>
      <w:proofErr w:type="spellStart"/>
      <w:r>
        <w:t>langdetect</w:t>
      </w:r>
      <w:proofErr w:type="spellEnd"/>
      <w:r>
        <w:t xml:space="preserve"> a également été utilisé pour détecter la langue des titres suspectés de n’être pas écrits en français.</w:t>
      </w:r>
    </w:p>
    <w:sectPr w:rsidR="0086143C" w:rsidRPr="0086143C" w:rsidSect="00FA5EB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70B" w:rsidRDefault="0044670B" w:rsidP="00F10E54">
      <w:pPr>
        <w:spacing w:after="0" w:line="240" w:lineRule="auto"/>
      </w:pPr>
      <w:r>
        <w:separator/>
      </w:r>
    </w:p>
  </w:endnote>
  <w:endnote w:type="continuationSeparator" w:id="0">
    <w:p w:rsidR="0044670B" w:rsidRDefault="0044670B"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7C56FF" w:rsidRDefault="007C56FF">
        <w:pPr>
          <w:pStyle w:val="Pieddepage"/>
        </w:pPr>
        <w:r>
          <w:rPr>
            <w:noProof/>
            <w:lang w:eastAsia="fr-FR"/>
          </w:rPr>
          <mc:AlternateContent>
            <mc:Choice Requires="wpg">
              <w:drawing>
                <wp:anchor distT="0" distB="0" distL="114300" distR="114300" simplePos="0" relativeHeight="251657216"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56FF" w:rsidRDefault="007C56FF">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7C56FF" w:rsidRDefault="007C56FF">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6FF" w:rsidRPr="00E32DE6" w:rsidRDefault="007C56FF"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70B" w:rsidRDefault="0044670B" w:rsidP="00F10E54">
      <w:pPr>
        <w:spacing w:after="0" w:line="240" w:lineRule="auto"/>
      </w:pPr>
      <w:r>
        <w:separator/>
      </w:r>
    </w:p>
  </w:footnote>
  <w:footnote w:type="continuationSeparator" w:id="0">
    <w:p w:rsidR="0044670B" w:rsidRDefault="0044670B" w:rsidP="00F10E54">
      <w:pPr>
        <w:spacing w:after="0" w:line="240" w:lineRule="auto"/>
      </w:pPr>
      <w:r>
        <w:continuationSeparator/>
      </w:r>
    </w:p>
  </w:footnote>
  <w:footnote w:id="1">
    <w:p w:rsidR="007C56FF" w:rsidRDefault="007C56FF">
      <w:pPr>
        <w:pStyle w:val="Notedebasdepage"/>
      </w:pPr>
      <w:r>
        <w:rPr>
          <w:rStyle w:val="Appelnotedebasdep"/>
        </w:rPr>
        <w:footnoteRef/>
      </w:r>
      <w:r>
        <w:t xml:space="preserve"> </w:t>
      </w:r>
      <w:hyperlink r:id="rId1" w:history="1">
        <w:r w:rsidRPr="00487E65">
          <w:rPr>
            <w:rStyle w:val="Lienhypertexte"/>
          </w:rPr>
          <w:t>https://www.python.org/</w:t>
        </w:r>
      </w:hyperlink>
      <w:r>
        <w:t xml:space="preserve"> </w:t>
      </w:r>
    </w:p>
  </w:footnote>
  <w:footnote w:id="2">
    <w:p w:rsidR="007C56FF" w:rsidRDefault="007C56FF">
      <w:pPr>
        <w:pStyle w:val="Notedebasdepage"/>
      </w:pPr>
      <w:r>
        <w:rPr>
          <w:rStyle w:val="Appelnotedebasdep"/>
        </w:rPr>
        <w:footnoteRef/>
      </w:r>
      <w:r>
        <w:t xml:space="preserve"> </w:t>
      </w:r>
      <w:hyperlink r:id="rId2" w:history="1">
        <w:r w:rsidRPr="00487E65">
          <w:rPr>
            <w:rStyle w:val="Lienhypertexte"/>
          </w:rPr>
          <w:t>https://products.office.com/fr-fr/excel</w:t>
        </w:r>
      </w:hyperlink>
      <w:r>
        <w:t xml:space="preserve"> </w:t>
      </w:r>
    </w:p>
  </w:footnote>
  <w:footnote w:id="3">
    <w:p w:rsidR="007C56FF" w:rsidRDefault="007C56FF" w:rsidP="00C812A1">
      <w:pPr>
        <w:pStyle w:val="Notedebasdepage"/>
      </w:pPr>
      <w:r>
        <w:rPr>
          <w:rStyle w:val="Appelnotedebasdep"/>
        </w:rPr>
        <w:footnoteRef/>
      </w:r>
      <w:r>
        <w:t xml:space="preserve"> </w:t>
      </w:r>
      <w:hyperlink r:id="rId3" w:history="1">
        <w:r w:rsidRPr="003274CE">
          <w:rPr>
            <w:rStyle w:val="Lienhypertexte"/>
          </w:rPr>
          <w:t>https://hal.archives-ouvertes.fr/</w:t>
        </w:r>
      </w:hyperlink>
      <w:r>
        <w:t xml:space="preserve"> </w:t>
      </w:r>
    </w:p>
  </w:footnote>
  <w:footnote w:id="4">
    <w:p w:rsidR="007C56FF" w:rsidRDefault="007C56FF" w:rsidP="00C812A1">
      <w:pPr>
        <w:pStyle w:val="Notedebasdepage"/>
      </w:pPr>
      <w:r>
        <w:rPr>
          <w:rStyle w:val="Appelnotedebasdep"/>
        </w:rPr>
        <w:footnoteRef/>
      </w:r>
      <w:r>
        <w:t xml:space="preserve"> </w:t>
      </w:r>
      <w:hyperlink r:id="rId4" w:history="1">
        <w:r w:rsidRPr="003274CE">
          <w:rPr>
            <w:rStyle w:val="Lienhypertexte"/>
          </w:rPr>
          <w:t>https://www.ccsd.cnrs.fr/</w:t>
        </w:r>
      </w:hyperlink>
      <w:r>
        <w:t xml:space="preserve"> </w:t>
      </w:r>
    </w:p>
  </w:footnote>
  <w:footnote w:id="5">
    <w:p w:rsidR="007C56FF" w:rsidRDefault="007C56FF">
      <w:pPr>
        <w:pStyle w:val="Notedebasdepage"/>
      </w:pPr>
      <w:r>
        <w:rPr>
          <w:rStyle w:val="Appelnotedebasdep"/>
        </w:rPr>
        <w:footnoteRef/>
      </w:r>
      <w:r>
        <w:t xml:space="preserve"> </w:t>
      </w:r>
      <w:hyperlink r:id="rId5" w:history="1">
        <w:r w:rsidRPr="003274CE">
          <w:rPr>
            <w:rStyle w:val="Lienhypertexte"/>
          </w:rPr>
          <w:t>http://arxiv.org/</w:t>
        </w:r>
      </w:hyperlink>
      <w:r>
        <w:t xml:space="preserve"> </w:t>
      </w:r>
    </w:p>
  </w:footnote>
  <w:footnote w:id="6">
    <w:p w:rsidR="007C56FF" w:rsidRDefault="007C56FF">
      <w:pPr>
        <w:pStyle w:val="Notedebasdepage"/>
      </w:pPr>
      <w:r>
        <w:rPr>
          <w:rStyle w:val="Appelnotedebasdep"/>
        </w:rPr>
        <w:footnoteRef/>
      </w:r>
      <w:r>
        <w:t xml:space="preserve"> </w:t>
      </w:r>
      <w:hyperlink r:id="rId6" w:history="1">
        <w:r w:rsidRPr="003274CE">
          <w:rPr>
            <w:rStyle w:val="Lienhypertexte"/>
          </w:rPr>
          <w:t>https://lucene.apache.org/</w:t>
        </w:r>
      </w:hyperlink>
      <w:r>
        <w:t xml:space="preserve"> </w:t>
      </w:r>
    </w:p>
  </w:footnote>
  <w:footnote w:id="7">
    <w:p w:rsidR="007C56FF" w:rsidRDefault="007C56FF">
      <w:pPr>
        <w:pStyle w:val="Notedebasdepage"/>
      </w:pPr>
      <w:r>
        <w:rPr>
          <w:rStyle w:val="Appelnotedebasdep"/>
        </w:rPr>
        <w:footnoteRef/>
      </w:r>
      <w:r>
        <w:t xml:space="preserve"> </w:t>
      </w:r>
      <w:hyperlink r:id="rId7" w:history="1">
        <w:r w:rsidRPr="00D64815">
          <w:rPr>
            <w:rStyle w:val="Lienhypertexte"/>
          </w:rPr>
          <w:t>https://stanfordnlp.github.io/CoreNLP/</w:t>
        </w:r>
      </w:hyperlink>
      <w:r>
        <w:t xml:space="preserve"> </w:t>
      </w:r>
    </w:p>
  </w:footnote>
  <w:footnote w:id="8">
    <w:p w:rsidR="007C56FF" w:rsidRDefault="007C56FF" w:rsidP="00FF2F7B">
      <w:pPr>
        <w:pStyle w:val="Notedebasdepage"/>
      </w:pPr>
      <w:r>
        <w:rPr>
          <w:rStyle w:val="Appelnotedebasdep"/>
        </w:rPr>
        <w:footnoteRef/>
      </w:r>
      <w:r>
        <w:t xml:space="preserve"> </w:t>
      </w:r>
      <w:hyperlink r:id="rId8" w:history="1">
        <w:r w:rsidRPr="00487E65">
          <w:rPr>
            <w:rStyle w:val="Lienhypertexte"/>
          </w:rPr>
          <w:t>http://redac.univ-tlse2.fr/applications/talismane/talismane.html</w:t>
        </w:r>
      </w:hyperlink>
      <w:r>
        <w:t xml:space="preserve"> </w:t>
      </w:r>
    </w:p>
  </w:footnote>
  <w:footnote w:id="9">
    <w:p w:rsidR="007C56FF" w:rsidRDefault="007C56FF">
      <w:pPr>
        <w:pStyle w:val="Notedebasdepage"/>
      </w:pPr>
      <w:r>
        <w:rPr>
          <w:rStyle w:val="Appelnotedebasdep"/>
        </w:rPr>
        <w:footnoteRef/>
      </w:r>
      <w:r>
        <w:t xml:space="preserve"> </w:t>
      </w:r>
      <w:hyperlink r:id="rId9" w:history="1">
        <w:r w:rsidRPr="00487E65">
          <w:rPr>
            <w:rStyle w:val="Lienhypertexte"/>
          </w:rPr>
          <w:t>http://universaldependencies.org/docs/format.html</w:t>
        </w:r>
      </w:hyperlink>
      <w:r>
        <w:t xml:space="preserve"> </w:t>
      </w:r>
    </w:p>
  </w:footnote>
  <w:footnote w:id="10">
    <w:p w:rsidR="007C56FF" w:rsidRDefault="007C56FF">
      <w:pPr>
        <w:pStyle w:val="Notedebasdepage"/>
      </w:pPr>
      <w:r>
        <w:rPr>
          <w:rStyle w:val="Appelnotedebasdep"/>
        </w:rPr>
        <w:footnoteRef/>
      </w:r>
      <w:r>
        <w:t xml:space="preserve"> </w:t>
      </w:r>
      <w:hyperlink r:id="rId10" w:history="1">
        <w:r w:rsidRPr="00487E65">
          <w:rPr>
            <w:rStyle w:val="Lienhypertexte"/>
          </w:rPr>
          <w:t>https://pypi.org/project/langdetect/</w:t>
        </w:r>
      </w:hyperlink>
      <w:r>
        <w:t xml:space="preserve"> </w:t>
      </w:r>
    </w:p>
  </w:footnote>
  <w:footnote w:id="11">
    <w:p w:rsidR="007C56FF" w:rsidRDefault="007C56FF" w:rsidP="007F391C">
      <w:pPr>
        <w:pStyle w:val="Notedebasdepage"/>
      </w:pPr>
      <w:r>
        <w:rPr>
          <w:rStyle w:val="Appelnotedebasdep"/>
        </w:rPr>
        <w:footnoteRef/>
      </w:r>
      <w:r>
        <w:t xml:space="preserve"> Les traductions et les valeurs ont été prises depuis cette page, consultée le 21 janvier 2018 : </w:t>
      </w:r>
      <w:hyperlink r:id="rId11" w:history="1">
        <w:r>
          <w:rPr>
            <w:rStyle w:val="Lienhypertexte"/>
          </w:rPr>
          <w:t>https://hal.archives-ouvertes.fr/browse/doctype</w:t>
        </w:r>
      </w:hyperlink>
      <w:r>
        <w:t xml:space="preserve"> Nous avons ajouté documents et notices pour faire un total.</w:t>
      </w:r>
    </w:p>
  </w:footnote>
  <w:footnote w:id="12">
    <w:p w:rsidR="007C56FF" w:rsidRDefault="007C56FF" w:rsidP="00F569F7">
      <w:pPr>
        <w:pStyle w:val="Notedebasdepage"/>
      </w:pPr>
      <w:r>
        <w:rPr>
          <w:rStyle w:val="Appelnotedebasdep"/>
        </w:rPr>
        <w:footnoteRef/>
      </w:r>
      <w:r>
        <w:t xml:space="preserve"> Les guillemets français « » présente l’avantage d’être différenciés entre l’ouvrant et le fermant. </w:t>
      </w:r>
      <w:r>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 w:id="13">
    <w:p w:rsidR="007C56FF" w:rsidRDefault="007C56FF">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La liste complète est donnée en annexe.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11"/>
  </w:num>
  <w:num w:numId="6">
    <w:abstractNumId w:val="5"/>
  </w:num>
  <w:num w:numId="7">
    <w:abstractNumId w:val="8"/>
  </w:num>
  <w:num w:numId="8">
    <w:abstractNumId w:val="10"/>
  </w:num>
  <w:num w:numId="9">
    <w:abstractNumId w:val="2"/>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378C"/>
    <w:rsid w:val="000074E1"/>
    <w:rsid w:val="00007A2D"/>
    <w:rsid w:val="00010784"/>
    <w:rsid w:val="00010807"/>
    <w:rsid w:val="000160A7"/>
    <w:rsid w:val="00016841"/>
    <w:rsid w:val="00024049"/>
    <w:rsid w:val="00024408"/>
    <w:rsid w:val="0004062A"/>
    <w:rsid w:val="00044A39"/>
    <w:rsid w:val="00045677"/>
    <w:rsid w:val="00046102"/>
    <w:rsid w:val="00047A1E"/>
    <w:rsid w:val="000520B9"/>
    <w:rsid w:val="00054FCA"/>
    <w:rsid w:val="00060A20"/>
    <w:rsid w:val="00071BD3"/>
    <w:rsid w:val="00074F6E"/>
    <w:rsid w:val="000763B6"/>
    <w:rsid w:val="00077152"/>
    <w:rsid w:val="000774E3"/>
    <w:rsid w:val="00077E1C"/>
    <w:rsid w:val="0008279A"/>
    <w:rsid w:val="000844C7"/>
    <w:rsid w:val="000907C3"/>
    <w:rsid w:val="000909FF"/>
    <w:rsid w:val="000912AF"/>
    <w:rsid w:val="00091A8F"/>
    <w:rsid w:val="00092A90"/>
    <w:rsid w:val="000936B3"/>
    <w:rsid w:val="00096E35"/>
    <w:rsid w:val="000A1A7E"/>
    <w:rsid w:val="000B01EA"/>
    <w:rsid w:val="000B24E2"/>
    <w:rsid w:val="000B32BC"/>
    <w:rsid w:val="000B34CD"/>
    <w:rsid w:val="000B4FEC"/>
    <w:rsid w:val="000B5FCF"/>
    <w:rsid w:val="000C1EE5"/>
    <w:rsid w:val="000C24BF"/>
    <w:rsid w:val="000C59E0"/>
    <w:rsid w:val="000C6F8F"/>
    <w:rsid w:val="000C7448"/>
    <w:rsid w:val="000E03FA"/>
    <w:rsid w:val="000E3B69"/>
    <w:rsid w:val="000F23D8"/>
    <w:rsid w:val="000F421B"/>
    <w:rsid w:val="000F54F0"/>
    <w:rsid w:val="000F5AC2"/>
    <w:rsid w:val="000F66BA"/>
    <w:rsid w:val="0010386B"/>
    <w:rsid w:val="00104235"/>
    <w:rsid w:val="00104E25"/>
    <w:rsid w:val="00111540"/>
    <w:rsid w:val="001121BF"/>
    <w:rsid w:val="00112B6F"/>
    <w:rsid w:val="00112D52"/>
    <w:rsid w:val="001134D7"/>
    <w:rsid w:val="0011451D"/>
    <w:rsid w:val="00116329"/>
    <w:rsid w:val="00121EAE"/>
    <w:rsid w:val="00123030"/>
    <w:rsid w:val="00123170"/>
    <w:rsid w:val="00124065"/>
    <w:rsid w:val="00124E47"/>
    <w:rsid w:val="001252A2"/>
    <w:rsid w:val="00131968"/>
    <w:rsid w:val="00133029"/>
    <w:rsid w:val="001333C4"/>
    <w:rsid w:val="00134C1F"/>
    <w:rsid w:val="001372BB"/>
    <w:rsid w:val="001400BF"/>
    <w:rsid w:val="00141BD5"/>
    <w:rsid w:val="0014361A"/>
    <w:rsid w:val="00144D3B"/>
    <w:rsid w:val="001466C1"/>
    <w:rsid w:val="00150099"/>
    <w:rsid w:val="00152432"/>
    <w:rsid w:val="0015583C"/>
    <w:rsid w:val="00155942"/>
    <w:rsid w:val="00157C5B"/>
    <w:rsid w:val="00160C63"/>
    <w:rsid w:val="00162741"/>
    <w:rsid w:val="00163C61"/>
    <w:rsid w:val="001653C0"/>
    <w:rsid w:val="00167EF2"/>
    <w:rsid w:val="0017004E"/>
    <w:rsid w:val="00181572"/>
    <w:rsid w:val="00183926"/>
    <w:rsid w:val="00185054"/>
    <w:rsid w:val="0018682B"/>
    <w:rsid w:val="00193654"/>
    <w:rsid w:val="00197000"/>
    <w:rsid w:val="001A07E8"/>
    <w:rsid w:val="001A07F8"/>
    <w:rsid w:val="001B28E6"/>
    <w:rsid w:val="001B412F"/>
    <w:rsid w:val="001B6470"/>
    <w:rsid w:val="001C0BA3"/>
    <w:rsid w:val="001C7223"/>
    <w:rsid w:val="001D2431"/>
    <w:rsid w:val="001D34E4"/>
    <w:rsid w:val="001D387F"/>
    <w:rsid w:val="001D3ED8"/>
    <w:rsid w:val="001D55B0"/>
    <w:rsid w:val="001D62C8"/>
    <w:rsid w:val="001D79F0"/>
    <w:rsid w:val="001E0BD6"/>
    <w:rsid w:val="001E1ABA"/>
    <w:rsid w:val="001E3D50"/>
    <w:rsid w:val="001F0E2C"/>
    <w:rsid w:val="001F32D6"/>
    <w:rsid w:val="001F7F22"/>
    <w:rsid w:val="00200CDC"/>
    <w:rsid w:val="00202B1A"/>
    <w:rsid w:val="002055BA"/>
    <w:rsid w:val="00206150"/>
    <w:rsid w:val="0020637C"/>
    <w:rsid w:val="00206C24"/>
    <w:rsid w:val="0020771A"/>
    <w:rsid w:val="002105CE"/>
    <w:rsid w:val="0021364F"/>
    <w:rsid w:val="002140E5"/>
    <w:rsid w:val="002149E1"/>
    <w:rsid w:val="00214C61"/>
    <w:rsid w:val="00217948"/>
    <w:rsid w:val="00223247"/>
    <w:rsid w:val="0022370A"/>
    <w:rsid w:val="00227D3F"/>
    <w:rsid w:val="0023251A"/>
    <w:rsid w:val="002327C1"/>
    <w:rsid w:val="002328AC"/>
    <w:rsid w:val="002329FF"/>
    <w:rsid w:val="00240463"/>
    <w:rsid w:val="00240718"/>
    <w:rsid w:val="00240DEA"/>
    <w:rsid w:val="00242E7E"/>
    <w:rsid w:val="0024322C"/>
    <w:rsid w:val="002440AE"/>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1187"/>
    <w:rsid w:val="002A1979"/>
    <w:rsid w:val="002A1E4C"/>
    <w:rsid w:val="002A3366"/>
    <w:rsid w:val="002A3D75"/>
    <w:rsid w:val="002A6EB3"/>
    <w:rsid w:val="002B00AE"/>
    <w:rsid w:val="002B1525"/>
    <w:rsid w:val="002B31BC"/>
    <w:rsid w:val="002B3C53"/>
    <w:rsid w:val="002B44D4"/>
    <w:rsid w:val="002B61B3"/>
    <w:rsid w:val="002C2734"/>
    <w:rsid w:val="002C4F26"/>
    <w:rsid w:val="002C7578"/>
    <w:rsid w:val="002D1E3C"/>
    <w:rsid w:val="002D2FA1"/>
    <w:rsid w:val="002D3E83"/>
    <w:rsid w:val="002D6A96"/>
    <w:rsid w:val="002E0ADC"/>
    <w:rsid w:val="002E26F7"/>
    <w:rsid w:val="002E358A"/>
    <w:rsid w:val="002E59F1"/>
    <w:rsid w:val="002E7F7E"/>
    <w:rsid w:val="002F75FC"/>
    <w:rsid w:val="002F7CFC"/>
    <w:rsid w:val="00301343"/>
    <w:rsid w:val="003036EC"/>
    <w:rsid w:val="003058DA"/>
    <w:rsid w:val="00306444"/>
    <w:rsid w:val="0031058D"/>
    <w:rsid w:val="00320AA0"/>
    <w:rsid w:val="003245BE"/>
    <w:rsid w:val="003262A9"/>
    <w:rsid w:val="00327D58"/>
    <w:rsid w:val="00332D47"/>
    <w:rsid w:val="00333501"/>
    <w:rsid w:val="003435D1"/>
    <w:rsid w:val="0034395A"/>
    <w:rsid w:val="003444C4"/>
    <w:rsid w:val="00350F1D"/>
    <w:rsid w:val="00351843"/>
    <w:rsid w:val="00352433"/>
    <w:rsid w:val="00354015"/>
    <w:rsid w:val="003547D5"/>
    <w:rsid w:val="00354F7C"/>
    <w:rsid w:val="003552D8"/>
    <w:rsid w:val="003554E8"/>
    <w:rsid w:val="00361789"/>
    <w:rsid w:val="00362C61"/>
    <w:rsid w:val="00370A1A"/>
    <w:rsid w:val="00372531"/>
    <w:rsid w:val="00374A34"/>
    <w:rsid w:val="00375369"/>
    <w:rsid w:val="00381E86"/>
    <w:rsid w:val="003903DD"/>
    <w:rsid w:val="00390F47"/>
    <w:rsid w:val="003922DF"/>
    <w:rsid w:val="003949D0"/>
    <w:rsid w:val="00394EAA"/>
    <w:rsid w:val="003A0C24"/>
    <w:rsid w:val="003A63C2"/>
    <w:rsid w:val="003A6745"/>
    <w:rsid w:val="003B0B0C"/>
    <w:rsid w:val="003B137F"/>
    <w:rsid w:val="003B1A6A"/>
    <w:rsid w:val="003C0DFA"/>
    <w:rsid w:val="003C192B"/>
    <w:rsid w:val="003C3245"/>
    <w:rsid w:val="003C3636"/>
    <w:rsid w:val="003C45FF"/>
    <w:rsid w:val="003C47FB"/>
    <w:rsid w:val="003C7FDB"/>
    <w:rsid w:val="003D1227"/>
    <w:rsid w:val="003D3B47"/>
    <w:rsid w:val="003D4D2A"/>
    <w:rsid w:val="003D4EF8"/>
    <w:rsid w:val="003E19B5"/>
    <w:rsid w:val="003E2626"/>
    <w:rsid w:val="003E3B01"/>
    <w:rsid w:val="003E4127"/>
    <w:rsid w:val="003E484A"/>
    <w:rsid w:val="003F1C36"/>
    <w:rsid w:val="003F2556"/>
    <w:rsid w:val="003F2651"/>
    <w:rsid w:val="003F3958"/>
    <w:rsid w:val="003F7BB9"/>
    <w:rsid w:val="00400905"/>
    <w:rsid w:val="00400D91"/>
    <w:rsid w:val="00407E75"/>
    <w:rsid w:val="00410F9D"/>
    <w:rsid w:val="00411178"/>
    <w:rsid w:val="00411214"/>
    <w:rsid w:val="00411254"/>
    <w:rsid w:val="00411527"/>
    <w:rsid w:val="004130EE"/>
    <w:rsid w:val="00413430"/>
    <w:rsid w:val="004145BB"/>
    <w:rsid w:val="0041716B"/>
    <w:rsid w:val="00417DD8"/>
    <w:rsid w:val="00423D7B"/>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7B3F"/>
    <w:rsid w:val="004616D4"/>
    <w:rsid w:val="004617D8"/>
    <w:rsid w:val="00464C27"/>
    <w:rsid w:val="004664F1"/>
    <w:rsid w:val="004668CD"/>
    <w:rsid w:val="00470840"/>
    <w:rsid w:val="00471FB9"/>
    <w:rsid w:val="00472A3A"/>
    <w:rsid w:val="00474AA5"/>
    <w:rsid w:val="00476EFD"/>
    <w:rsid w:val="0048226C"/>
    <w:rsid w:val="00482503"/>
    <w:rsid w:val="004828D8"/>
    <w:rsid w:val="00483774"/>
    <w:rsid w:val="00484558"/>
    <w:rsid w:val="004850C1"/>
    <w:rsid w:val="004853DC"/>
    <w:rsid w:val="00492454"/>
    <w:rsid w:val="00492BD2"/>
    <w:rsid w:val="004934F2"/>
    <w:rsid w:val="00496CC4"/>
    <w:rsid w:val="00496EDF"/>
    <w:rsid w:val="00497363"/>
    <w:rsid w:val="00497566"/>
    <w:rsid w:val="00497CF9"/>
    <w:rsid w:val="004A161A"/>
    <w:rsid w:val="004A3E2D"/>
    <w:rsid w:val="004A4A74"/>
    <w:rsid w:val="004A5570"/>
    <w:rsid w:val="004A6D08"/>
    <w:rsid w:val="004A77B5"/>
    <w:rsid w:val="004B1A82"/>
    <w:rsid w:val="004B722A"/>
    <w:rsid w:val="004C0A14"/>
    <w:rsid w:val="004C2BE4"/>
    <w:rsid w:val="004C506D"/>
    <w:rsid w:val="004C7930"/>
    <w:rsid w:val="004C7AF5"/>
    <w:rsid w:val="004D32A7"/>
    <w:rsid w:val="004D5871"/>
    <w:rsid w:val="004D6F82"/>
    <w:rsid w:val="004D75C5"/>
    <w:rsid w:val="004D7B52"/>
    <w:rsid w:val="004E6AB3"/>
    <w:rsid w:val="004E795A"/>
    <w:rsid w:val="004F0AF4"/>
    <w:rsid w:val="004F3EE1"/>
    <w:rsid w:val="004F51BA"/>
    <w:rsid w:val="004F546C"/>
    <w:rsid w:val="00503B34"/>
    <w:rsid w:val="005104F1"/>
    <w:rsid w:val="00513FF2"/>
    <w:rsid w:val="00514FB1"/>
    <w:rsid w:val="00516111"/>
    <w:rsid w:val="00520511"/>
    <w:rsid w:val="005212C9"/>
    <w:rsid w:val="005234B3"/>
    <w:rsid w:val="005269D8"/>
    <w:rsid w:val="00527839"/>
    <w:rsid w:val="005279F9"/>
    <w:rsid w:val="00527A1E"/>
    <w:rsid w:val="005348DE"/>
    <w:rsid w:val="00537014"/>
    <w:rsid w:val="00542F15"/>
    <w:rsid w:val="0054737D"/>
    <w:rsid w:val="00550972"/>
    <w:rsid w:val="00552DE0"/>
    <w:rsid w:val="005537D5"/>
    <w:rsid w:val="0055428F"/>
    <w:rsid w:val="00555ECE"/>
    <w:rsid w:val="0055638C"/>
    <w:rsid w:val="00563121"/>
    <w:rsid w:val="00563B8A"/>
    <w:rsid w:val="005644A5"/>
    <w:rsid w:val="0056535A"/>
    <w:rsid w:val="00571965"/>
    <w:rsid w:val="00573DC2"/>
    <w:rsid w:val="0057532E"/>
    <w:rsid w:val="005771CF"/>
    <w:rsid w:val="00577EC9"/>
    <w:rsid w:val="00580145"/>
    <w:rsid w:val="00580171"/>
    <w:rsid w:val="00583449"/>
    <w:rsid w:val="00587039"/>
    <w:rsid w:val="00592472"/>
    <w:rsid w:val="005924D0"/>
    <w:rsid w:val="0059639C"/>
    <w:rsid w:val="00596EA6"/>
    <w:rsid w:val="005970AA"/>
    <w:rsid w:val="0059773A"/>
    <w:rsid w:val="005A298A"/>
    <w:rsid w:val="005A57E4"/>
    <w:rsid w:val="005A5EBD"/>
    <w:rsid w:val="005A6532"/>
    <w:rsid w:val="005A6CB1"/>
    <w:rsid w:val="005B01A9"/>
    <w:rsid w:val="005B60AE"/>
    <w:rsid w:val="005B6AB3"/>
    <w:rsid w:val="005C0476"/>
    <w:rsid w:val="005C0A84"/>
    <w:rsid w:val="005C0C31"/>
    <w:rsid w:val="005C0FDB"/>
    <w:rsid w:val="005C1851"/>
    <w:rsid w:val="005C2E14"/>
    <w:rsid w:val="005C3498"/>
    <w:rsid w:val="005C5442"/>
    <w:rsid w:val="005C74B9"/>
    <w:rsid w:val="005D0CA6"/>
    <w:rsid w:val="005D22D9"/>
    <w:rsid w:val="005D2DAB"/>
    <w:rsid w:val="005D6725"/>
    <w:rsid w:val="005D6F98"/>
    <w:rsid w:val="005E02B9"/>
    <w:rsid w:val="005E1414"/>
    <w:rsid w:val="005E45DC"/>
    <w:rsid w:val="005E50C5"/>
    <w:rsid w:val="005E7401"/>
    <w:rsid w:val="005F111B"/>
    <w:rsid w:val="005F2889"/>
    <w:rsid w:val="005F4AFF"/>
    <w:rsid w:val="0060035E"/>
    <w:rsid w:val="00602754"/>
    <w:rsid w:val="0060584A"/>
    <w:rsid w:val="006058FB"/>
    <w:rsid w:val="006070C4"/>
    <w:rsid w:val="00610008"/>
    <w:rsid w:val="00610858"/>
    <w:rsid w:val="00612DE5"/>
    <w:rsid w:val="00615592"/>
    <w:rsid w:val="00615A8B"/>
    <w:rsid w:val="006162A4"/>
    <w:rsid w:val="00621EE3"/>
    <w:rsid w:val="00622E74"/>
    <w:rsid w:val="006314D1"/>
    <w:rsid w:val="00632053"/>
    <w:rsid w:val="00632555"/>
    <w:rsid w:val="00633F00"/>
    <w:rsid w:val="0064327E"/>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71AD"/>
    <w:rsid w:val="006713E9"/>
    <w:rsid w:val="006713F1"/>
    <w:rsid w:val="00673887"/>
    <w:rsid w:val="00676D78"/>
    <w:rsid w:val="00680BAF"/>
    <w:rsid w:val="00681532"/>
    <w:rsid w:val="006846E0"/>
    <w:rsid w:val="006856AD"/>
    <w:rsid w:val="0068670B"/>
    <w:rsid w:val="0069299C"/>
    <w:rsid w:val="006A0145"/>
    <w:rsid w:val="006A173F"/>
    <w:rsid w:val="006A282A"/>
    <w:rsid w:val="006A5AFA"/>
    <w:rsid w:val="006A6A83"/>
    <w:rsid w:val="006A6D14"/>
    <w:rsid w:val="006A71C9"/>
    <w:rsid w:val="006B21F9"/>
    <w:rsid w:val="006B3960"/>
    <w:rsid w:val="006B793D"/>
    <w:rsid w:val="006C0355"/>
    <w:rsid w:val="006C47B6"/>
    <w:rsid w:val="006C5770"/>
    <w:rsid w:val="006C581E"/>
    <w:rsid w:val="006D4829"/>
    <w:rsid w:val="006D5D50"/>
    <w:rsid w:val="006E0519"/>
    <w:rsid w:val="006E070C"/>
    <w:rsid w:val="006E3DE8"/>
    <w:rsid w:val="006E4E30"/>
    <w:rsid w:val="006E780D"/>
    <w:rsid w:val="006F028E"/>
    <w:rsid w:val="006F290D"/>
    <w:rsid w:val="006F5943"/>
    <w:rsid w:val="006F6838"/>
    <w:rsid w:val="007009AA"/>
    <w:rsid w:val="0070208F"/>
    <w:rsid w:val="007026A0"/>
    <w:rsid w:val="00702FC9"/>
    <w:rsid w:val="00704C3B"/>
    <w:rsid w:val="007073A6"/>
    <w:rsid w:val="007118B1"/>
    <w:rsid w:val="00714BA6"/>
    <w:rsid w:val="0071622C"/>
    <w:rsid w:val="00716AB3"/>
    <w:rsid w:val="00716B06"/>
    <w:rsid w:val="00717EB8"/>
    <w:rsid w:val="00721F65"/>
    <w:rsid w:val="00722049"/>
    <w:rsid w:val="007224F8"/>
    <w:rsid w:val="00722726"/>
    <w:rsid w:val="007254C6"/>
    <w:rsid w:val="0072625C"/>
    <w:rsid w:val="00727C21"/>
    <w:rsid w:val="00727E53"/>
    <w:rsid w:val="00730A20"/>
    <w:rsid w:val="00731B19"/>
    <w:rsid w:val="00733DF7"/>
    <w:rsid w:val="00735AE2"/>
    <w:rsid w:val="00736A43"/>
    <w:rsid w:val="0073779B"/>
    <w:rsid w:val="00740244"/>
    <w:rsid w:val="00741F6A"/>
    <w:rsid w:val="007427D6"/>
    <w:rsid w:val="007431AC"/>
    <w:rsid w:val="007448C4"/>
    <w:rsid w:val="00745798"/>
    <w:rsid w:val="00745870"/>
    <w:rsid w:val="00746BEC"/>
    <w:rsid w:val="00750768"/>
    <w:rsid w:val="00751C36"/>
    <w:rsid w:val="00754ACD"/>
    <w:rsid w:val="00755A9D"/>
    <w:rsid w:val="00756294"/>
    <w:rsid w:val="007567C3"/>
    <w:rsid w:val="00756CB8"/>
    <w:rsid w:val="00757021"/>
    <w:rsid w:val="00757294"/>
    <w:rsid w:val="0075783E"/>
    <w:rsid w:val="00761325"/>
    <w:rsid w:val="00763EF0"/>
    <w:rsid w:val="0077408D"/>
    <w:rsid w:val="00775158"/>
    <w:rsid w:val="00777294"/>
    <w:rsid w:val="00780E1C"/>
    <w:rsid w:val="00784DBE"/>
    <w:rsid w:val="00785816"/>
    <w:rsid w:val="00785DD9"/>
    <w:rsid w:val="007866DB"/>
    <w:rsid w:val="00790C04"/>
    <w:rsid w:val="00792BF4"/>
    <w:rsid w:val="00796D39"/>
    <w:rsid w:val="00797B3D"/>
    <w:rsid w:val="007A22DC"/>
    <w:rsid w:val="007A231A"/>
    <w:rsid w:val="007B00CC"/>
    <w:rsid w:val="007B0555"/>
    <w:rsid w:val="007B0932"/>
    <w:rsid w:val="007B4D93"/>
    <w:rsid w:val="007C56FF"/>
    <w:rsid w:val="007C5DF9"/>
    <w:rsid w:val="007C640C"/>
    <w:rsid w:val="007D436F"/>
    <w:rsid w:val="007D4764"/>
    <w:rsid w:val="007D4A5C"/>
    <w:rsid w:val="007D6006"/>
    <w:rsid w:val="007D6D51"/>
    <w:rsid w:val="007D70FB"/>
    <w:rsid w:val="007D7699"/>
    <w:rsid w:val="007D7BDF"/>
    <w:rsid w:val="007E03D2"/>
    <w:rsid w:val="007E29FF"/>
    <w:rsid w:val="007F0171"/>
    <w:rsid w:val="007F1C29"/>
    <w:rsid w:val="007F1CAE"/>
    <w:rsid w:val="007F241C"/>
    <w:rsid w:val="007F391C"/>
    <w:rsid w:val="007F50B4"/>
    <w:rsid w:val="007F5D0B"/>
    <w:rsid w:val="007F6C36"/>
    <w:rsid w:val="008042C9"/>
    <w:rsid w:val="00811D79"/>
    <w:rsid w:val="00814469"/>
    <w:rsid w:val="00815514"/>
    <w:rsid w:val="008174E9"/>
    <w:rsid w:val="00817BC0"/>
    <w:rsid w:val="0082357C"/>
    <w:rsid w:val="008253FC"/>
    <w:rsid w:val="0083350A"/>
    <w:rsid w:val="0083366B"/>
    <w:rsid w:val="00840142"/>
    <w:rsid w:val="00841C0E"/>
    <w:rsid w:val="00842C3F"/>
    <w:rsid w:val="00843A24"/>
    <w:rsid w:val="00844310"/>
    <w:rsid w:val="00847E95"/>
    <w:rsid w:val="0085100D"/>
    <w:rsid w:val="0085177D"/>
    <w:rsid w:val="008533F2"/>
    <w:rsid w:val="008545EA"/>
    <w:rsid w:val="00854C72"/>
    <w:rsid w:val="00855509"/>
    <w:rsid w:val="0086143C"/>
    <w:rsid w:val="0086375C"/>
    <w:rsid w:val="00865F9E"/>
    <w:rsid w:val="008703D3"/>
    <w:rsid w:val="008706B7"/>
    <w:rsid w:val="008732D5"/>
    <w:rsid w:val="008776E6"/>
    <w:rsid w:val="008817B3"/>
    <w:rsid w:val="00890239"/>
    <w:rsid w:val="0089038F"/>
    <w:rsid w:val="00891663"/>
    <w:rsid w:val="008924A0"/>
    <w:rsid w:val="008931B6"/>
    <w:rsid w:val="00893C7F"/>
    <w:rsid w:val="00895051"/>
    <w:rsid w:val="008A028C"/>
    <w:rsid w:val="008A1A06"/>
    <w:rsid w:val="008A315A"/>
    <w:rsid w:val="008A3520"/>
    <w:rsid w:val="008A4D18"/>
    <w:rsid w:val="008A53AC"/>
    <w:rsid w:val="008A5647"/>
    <w:rsid w:val="008A5B5B"/>
    <w:rsid w:val="008B221C"/>
    <w:rsid w:val="008B4475"/>
    <w:rsid w:val="008B4AA8"/>
    <w:rsid w:val="008B5AA0"/>
    <w:rsid w:val="008C0E13"/>
    <w:rsid w:val="008C6579"/>
    <w:rsid w:val="008C6CD2"/>
    <w:rsid w:val="008D2488"/>
    <w:rsid w:val="008D40CF"/>
    <w:rsid w:val="008E17CE"/>
    <w:rsid w:val="008E20D4"/>
    <w:rsid w:val="008E39A9"/>
    <w:rsid w:val="008E612A"/>
    <w:rsid w:val="008E62F9"/>
    <w:rsid w:val="008E6EFC"/>
    <w:rsid w:val="008F3696"/>
    <w:rsid w:val="008F399B"/>
    <w:rsid w:val="008F5907"/>
    <w:rsid w:val="00901BFB"/>
    <w:rsid w:val="00905A9D"/>
    <w:rsid w:val="00911394"/>
    <w:rsid w:val="00913AF8"/>
    <w:rsid w:val="009151C0"/>
    <w:rsid w:val="009158F5"/>
    <w:rsid w:val="009161B7"/>
    <w:rsid w:val="009178C7"/>
    <w:rsid w:val="00917AFD"/>
    <w:rsid w:val="009219D5"/>
    <w:rsid w:val="009219E6"/>
    <w:rsid w:val="00922FCC"/>
    <w:rsid w:val="009252D1"/>
    <w:rsid w:val="00927B74"/>
    <w:rsid w:val="00927C26"/>
    <w:rsid w:val="00935275"/>
    <w:rsid w:val="009377FA"/>
    <w:rsid w:val="00940BBC"/>
    <w:rsid w:val="00944540"/>
    <w:rsid w:val="00944E76"/>
    <w:rsid w:val="00945761"/>
    <w:rsid w:val="009510E8"/>
    <w:rsid w:val="0095364C"/>
    <w:rsid w:val="00955BE0"/>
    <w:rsid w:val="00961483"/>
    <w:rsid w:val="009666A5"/>
    <w:rsid w:val="009668CE"/>
    <w:rsid w:val="009717D2"/>
    <w:rsid w:val="009717DF"/>
    <w:rsid w:val="00973268"/>
    <w:rsid w:val="00974558"/>
    <w:rsid w:val="009779B1"/>
    <w:rsid w:val="009803F3"/>
    <w:rsid w:val="00987A1D"/>
    <w:rsid w:val="009908AF"/>
    <w:rsid w:val="00990977"/>
    <w:rsid w:val="009970BA"/>
    <w:rsid w:val="009A09A5"/>
    <w:rsid w:val="009A278A"/>
    <w:rsid w:val="009A500C"/>
    <w:rsid w:val="009A5EFF"/>
    <w:rsid w:val="009B0C44"/>
    <w:rsid w:val="009B49F8"/>
    <w:rsid w:val="009B7496"/>
    <w:rsid w:val="009C3993"/>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2C5A"/>
    <w:rsid w:val="00A14956"/>
    <w:rsid w:val="00A149FA"/>
    <w:rsid w:val="00A17A9C"/>
    <w:rsid w:val="00A20CC6"/>
    <w:rsid w:val="00A20E17"/>
    <w:rsid w:val="00A26BF3"/>
    <w:rsid w:val="00A30297"/>
    <w:rsid w:val="00A30B0B"/>
    <w:rsid w:val="00A31308"/>
    <w:rsid w:val="00A43FD1"/>
    <w:rsid w:val="00A465DB"/>
    <w:rsid w:val="00A506DA"/>
    <w:rsid w:val="00A54095"/>
    <w:rsid w:val="00A54A22"/>
    <w:rsid w:val="00A56678"/>
    <w:rsid w:val="00A60A3A"/>
    <w:rsid w:val="00A60D3C"/>
    <w:rsid w:val="00A623FE"/>
    <w:rsid w:val="00A64454"/>
    <w:rsid w:val="00A70158"/>
    <w:rsid w:val="00A70492"/>
    <w:rsid w:val="00A73516"/>
    <w:rsid w:val="00A75610"/>
    <w:rsid w:val="00A77F1F"/>
    <w:rsid w:val="00A80341"/>
    <w:rsid w:val="00A82287"/>
    <w:rsid w:val="00A8352E"/>
    <w:rsid w:val="00A846ED"/>
    <w:rsid w:val="00A84D3A"/>
    <w:rsid w:val="00A86C19"/>
    <w:rsid w:val="00A91002"/>
    <w:rsid w:val="00A91DF6"/>
    <w:rsid w:val="00A941F3"/>
    <w:rsid w:val="00A94A98"/>
    <w:rsid w:val="00A94B1F"/>
    <w:rsid w:val="00AA03D1"/>
    <w:rsid w:val="00AA06C1"/>
    <w:rsid w:val="00AB13A9"/>
    <w:rsid w:val="00AB5BA8"/>
    <w:rsid w:val="00AC415D"/>
    <w:rsid w:val="00AD0FB8"/>
    <w:rsid w:val="00AD113D"/>
    <w:rsid w:val="00AD2140"/>
    <w:rsid w:val="00AD28BC"/>
    <w:rsid w:val="00AD71B5"/>
    <w:rsid w:val="00AE04AF"/>
    <w:rsid w:val="00AE2BE5"/>
    <w:rsid w:val="00AE45B9"/>
    <w:rsid w:val="00AE4E4E"/>
    <w:rsid w:val="00AE5B80"/>
    <w:rsid w:val="00AE62E7"/>
    <w:rsid w:val="00AF0153"/>
    <w:rsid w:val="00AF14E6"/>
    <w:rsid w:val="00AF6CE3"/>
    <w:rsid w:val="00AF7DEF"/>
    <w:rsid w:val="00B005C3"/>
    <w:rsid w:val="00B00FD9"/>
    <w:rsid w:val="00B03E63"/>
    <w:rsid w:val="00B0610B"/>
    <w:rsid w:val="00B111C3"/>
    <w:rsid w:val="00B14DB6"/>
    <w:rsid w:val="00B24FD6"/>
    <w:rsid w:val="00B27A67"/>
    <w:rsid w:val="00B31BBB"/>
    <w:rsid w:val="00B31E5A"/>
    <w:rsid w:val="00B3243A"/>
    <w:rsid w:val="00B35148"/>
    <w:rsid w:val="00B35C68"/>
    <w:rsid w:val="00B409E5"/>
    <w:rsid w:val="00B40D44"/>
    <w:rsid w:val="00B4138E"/>
    <w:rsid w:val="00B43684"/>
    <w:rsid w:val="00B43C17"/>
    <w:rsid w:val="00B45253"/>
    <w:rsid w:val="00B4532A"/>
    <w:rsid w:val="00B4732D"/>
    <w:rsid w:val="00B50860"/>
    <w:rsid w:val="00B51A96"/>
    <w:rsid w:val="00B53F5C"/>
    <w:rsid w:val="00B544D5"/>
    <w:rsid w:val="00B56D32"/>
    <w:rsid w:val="00B56F08"/>
    <w:rsid w:val="00B60FF4"/>
    <w:rsid w:val="00B633DC"/>
    <w:rsid w:val="00B66C12"/>
    <w:rsid w:val="00B71131"/>
    <w:rsid w:val="00B75AAC"/>
    <w:rsid w:val="00B761C1"/>
    <w:rsid w:val="00B76784"/>
    <w:rsid w:val="00B810E9"/>
    <w:rsid w:val="00B8138B"/>
    <w:rsid w:val="00B81582"/>
    <w:rsid w:val="00B85007"/>
    <w:rsid w:val="00B860A8"/>
    <w:rsid w:val="00B862E1"/>
    <w:rsid w:val="00B8736F"/>
    <w:rsid w:val="00B90204"/>
    <w:rsid w:val="00B9136D"/>
    <w:rsid w:val="00B935E2"/>
    <w:rsid w:val="00B948DD"/>
    <w:rsid w:val="00B96498"/>
    <w:rsid w:val="00BA0EC2"/>
    <w:rsid w:val="00BA1075"/>
    <w:rsid w:val="00BA208B"/>
    <w:rsid w:val="00BA30E3"/>
    <w:rsid w:val="00BA43EB"/>
    <w:rsid w:val="00BA65ED"/>
    <w:rsid w:val="00BB0C41"/>
    <w:rsid w:val="00BB171C"/>
    <w:rsid w:val="00BB6612"/>
    <w:rsid w:val="00BB69DB"/>
    <w:rsid w:val="00BC02C8"/>
    <w:rsid w:val="00BC0662"/>
    <w:rsid w:val="00BC3466"/>
    <w:rsid w:val="00BC4E93"/>
    <w:rsid w:val="00BD25B9"/>
    <w:rsid w:val="00BD276C"/>
    <w:rsid w:val="00BE2D46"/>
    <w:rsid w:val="00BE42A6"/>
    <w:rsid w:val="00BE4A38"/>
    <w:rsid w:val="00BE5CEE"/>
    <w:rsid w:val="00BF0265"/>
    <w:rsid w:val="00BF39AC"/>
    <w:rsid w:val="00BF7571"/>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42F3A"/>
    <w:rsid w:val="00C43B60"/>
    <w:rsid w:val="00C44141"/>
    <w:rsid w:val="00C47297"/>
    <w:rsid w:val="00C516C0"/>
    <w:rsid w:val="00C5214C"/>
    <w:rsid w:val="00C55D3E"/>
    <w:rsid w:val="00C56145"/>
    <w:rsid w:val="00C6032A"/>
    <w:rsid w:val="00C62A41"/>
    <w:rsid w:val="00C64A77"/>
    <w:rsid w:val="00C64C01"/>
    <w:rsid w:val="00C65288"/>
    <w:rsid w:val="00C65401"/>
    <w:rsid w:val="00C6581F"/>
    <w:rsid w:val="00C66434"/>
    <w:rsid w:val="00C66A14"/>
    <w:rsid w:val="00C711DD"/>
    <w:rsid w:val="00C7182B"/>
    <w:rsid w:val="00C74C05"/>
    <w:rsid w:val="00C74D99"/>
    <w:rsid w:val="00C76F95"/>
    <w:rsid w:val="00C774C4"/>
    <w:rsid w:val="00C77776"/>
    <w:rsid w:val="00C812A1"/>
    <w:rsid w:val="00C81A01"/>
    <w:rsid w:val="00C81A0B"/>
    <w:rsid w:val="00C87C9F"/>
    <w:rsid w:val="00C90870"/>
    <w:rsid w:val="00C93C95"/>
    <w:rsid w:val="00C943BE"/>
    <w:rsid w:val="00CA10C9"/>
    <w:rsid w:val="00CA53A0"/>
    <w:rsid w:val="00CA5CF5"/>
    <w:rsid w:val="00CA6642"/>
    <w:rsid w:val="00CB1311"/>
    <w:rsid w:val="00CB605D"/>
    <w:rsid w:val="00CC0C54"/>
    <w:rsid w:val="00CC4871"/>
    <w:rsid w:val="00CC608B"/>
    <w:rsid w:val="00CC670F"/>
    <w:rsid w:val="00CC7EEC"/>
    <w:rsid w:val="00CD025D"/>
    <w:rsid w:val="00CD4283"/>
    <w:rsid w:val="00CD7B8F"/>
    <w:rsid w:val="00CE098C"/>
    <w:rsid w:val="00CE0C1E"/>
    <w:rsid w:val="00CE2B20"/>
    <w:rsid w:val="00CE59ED"/>
    <w:rsid w:val="00CE6B32"/>
    <w:rsid w:val="00CE776F"/>
    <w:rsid w:val="00CE7AFE"/>
    <w:rsid w:val="00CF2DFA"/>
    <w:rsid w:val="00CF3A68"/>
    <w:rsid w:val="00CF4349"/>
    <w:rsid w:val="00CF5099"/>
    <w:rsid w:val="00CF69D1"/>
    <w:rsid w:val="00D01A52"/>
    <w:rsid w:val="00D02A30"/>
    <w:rsid w:val="00D14DA0"/>
    <w:rsid w:val="00D211F2"/>
    <w:rsid w:val="00D248BA"/>
    <w:rsid w:val="00D30862"/>
    <w:rsid w:val="00D31779"/>
    <w:rsid w:val="00D318FC"/>
    <w:rsid w:val="00D31AD7"/>
    <w:rsid w:val="00D34140"/>
    <w:rsid w:val="00D41996"/>
    <w:rsid w:val="00D44EBB"/>
    <w:rsid w:val="00D46DBC"/>
    <w:rsid w:val="00D47EF4"/>
    <w:rsid w:val="00D5103B"/>
    <w:rsid w:val="00D51BD3"/>
    <w:rsid w:val="00D53C08"/>
    <w:rsid w:val="00D543EF"/>
    <w:rsid w:val="00D547AE"/>
    <w:rsid w:val="00D549F2"/>
    <w:rsid w:val="00D55705"/>
    <w:rsid w:val="00D60567"/>
    <w:rsid w:val="00D65915"/>
    <w:rsid w:val="00D773E0"/>
    <w:rsid w:val="00D90C8E"/>
    <w:rsid w:val="00D92DBD"/>
    <w:rsid w:val="00D93A38"/>
    <w:rsid w:val="00DA32EE"/>
    <w:rsid w:val="00DA5620"/>
    <w:rsid w:val="00DA6744"/>
    <w:rsid w:val="00DA7C45"/>
    <w:rsid w:val="00DB7EFC"/>
    <w:rsid w:val="00DC186F"/>
    <w:rsid w:val="00DC2E5B"/>
    <w:rsid w:val="00DC714B"/>
    <w:rsid w:val="00DD159B"/>
    <w:rsid w:val="00DD2423"/>
    <w:rsid w:val="00DD2AD4"/>
    <w:rsid w:val="00DD59EA"/>
    <w:rsid w:val="00DE2856"/>
    <w:rsid w:val="00DE28BA"/>
    <w:rsid w:val="00DE5072"/>
    <w:rsid w:val="00DF19C3"/>
    <w:rsid w:val="00DF4703"/>
    <w:rsid w:val="00DF4B98"/>
    <w:rsid w:val="00DF7A86"/>
    <w:rsid w:val="00DF7F83"/>
    <w:rsid w:val="00E03068"/>
    <w:rsid w:val="00E05C16"/>
    <w:rsid w:val="00E05E42"/>
    <w:rsid w:val="00E06E85"/>
    <w:rsid w:val="00E15F6D"/>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5F04"/>
    <w:rsid w:val="00E5160C"/>
    <w:rsid w:val="00E57E76"/>
    <w:rsid w:val="00E60312"/>
    <w:rsid w:val="00E604C0"/>
    <w:rsid w:val="00E65059"/>
    <w:rsid w:val="00E67600"/>
    <w:rsid w:val="00E70322"/>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38F0"/>
    <w:rsid w:val="00E942BA"/>
    <w:rsid w:val="00E960EB"/>
    <w:rsid w:val="00E97309"/>
    <w:rsid w:val="00EA152B"/>
    <w:rsid w:val="00EA3CA8"/>
    <w:rsid w:val="00EB0F4D"/>
    <w:rsid w:val="00EB2918"/>
    <w:rsid w:val="00EB40B4"/>
    <w:rsid w:val="00EB44F9"/>
    <w:rsid w:val="00EB7112"/>
    <w:rsid w:val="00EC0CA5"/>
    <w:rsid w:val="00EC38CF"/>
    <w:rsid w:val="00EC3D19"/>
    <w:rsid w:val="00EC51C2"/>
    <w:rsid w:val="00EC52F7"/>
    <w:rsid w:val="00ED0B42"/>
    <w:rsid w:val="00ED1598"/>
    <w:rsid w:val="00ED1D95"/>
    <w:rsid w:val="00ED4893"/>
    <w:rsid w:val="00ED7827"/>
    <w:rsid w:val="00ED7834"/>
    <w:rsid w:val="00EE0E1E"/>
    <w:rsid w:val="00EE2B89"/>
    <w:rsid w:val="00EE34E5"/>
    <w:rsid w:val="00EE609C"/>
    <w:rsid w:val="00EF06E7"/>
    <w:rsid w:val="00EF4BDA"/>
    <w:rsid w:val="00EF656D"/>
    <w:rsid w:val="00F072D7"/>
    <w:rsid w:val="00F101DB"/>
    <w:rsid w:val="00F10E54"/>
    <w:rsid w:val="00F118EA"/>
    <w:rsid w:val="00F13DB4"/>
    <w:rsid w:val="00F15961"/>
    <w:rsid w:val="00F160DC"/>
    <w:rsid w:val="00F305AA"/>
    <w:rsid w:val="00F3244C"/>
    <w:rsid w:val="00F32690"/>
    <w:rsid w:val="00F3290A"/>
    <w:rsid w:val="00F33A64"/>
    <w:rsid w:val="00F34273"/>
    <w:rsid w:val="00F35B2D"/>
    <w:rsid w:val="00F363D9"/>
    <w:rsid w:val="00F410E4"/>
    <w:rsid w:val="00F414B6"/>
    <w:rsid w:val="00F442A7"/>
    <w:rsid w:val="00F50191"/>
    <w:rsid w:val="00F5038E"/>
    <w:rsid w:val="00F509DA"/>
    <w:rsid w:val="00F556ED"/>
    <w:rsid w:val="00F55B95"/>
    <w:rsid w:val="00F569F7"/>
    <w:rsid w:val="00F56D4E"/>
    <w:rsid w:val="00F61FD2"/>
    <w:rsid w:val="00F63A40"/>
    <w:rsid w:val="00F63E47"/>
    <w:rsid w:val="00F644F0"/>
    <w:rsid w:val="00F66D7A"/>
    <w:rsid w:val="00F67AB4"/>
    <w:rsid w:val="00F73F38"/>
    <w:rsid w:val="00F75CBE"/>
    <w:rsid w:val="00F82E5F"/>
    <w:rsid w:val="00F8636B"/>
    <w:rsid w:val="00F90DBA"/>
    <w:rsid w:val="00F9246F"/>
    <w:rsid w:val="00F96B67"/>
    <w:rsid w:val="00FA36E0"/>
    <w:rsid w:val="00FA3A41"/>
    <w:rsid w:val="00FA4532"/>
    <w:rsid w:val="00FA5EB4"/>
    <w:rsid w:val="00FB35C4"/>
    <w:rsid w:val="00FB4AF9"/>
    <w:rsid w:val="00FB52B9"/>
    <w:rsid w:val="00FB65E2"/>
    <w:rsid w:val="00FC02CC"/>
    <w:rsid w:val="00FC2D29"/>
    <w:rsid w:val="00FC5954"/>
    <w:rsid w:val="00FC7761"/>
    <w:rsid w:val="00FD377F"/>
    <w:rsid w:val="00FE2D88"/>
    <w:rsid w:val="00FE62B0"/>
    <w:rsid w:val="00FF183D"/>
    <w:rsid w:val="00FF18BD"/>
    <w:rsid w:val="00FF1CA4"/>
    <w:rsid w:val="00FF2056"/>
    <w:rsid w:val="00FF2F7B"/>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94909"/>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dac.univ-tlse2.fr/applications/talismane/talismane.html" TargetMode="External"/><Relationship Id="rId3" Type="http://schemas.openxmlformats.org/officeDocument/2006/relationships/hyperlink" Target="https://hal.archives-ouvertes.fr/" TargetMode="External"/><Relationship Id="rId7" Type="http://schemas.openxmlformats.org/officeDocument/2006/relationships/hyperlink" Target="https://stanfordnlp.github.io/CoreNLP/"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s://lucene.apache.org/" TargetMode="External"/><Relationship Id="rId11" Type="http://schemas.openxmlformats.org/officeDocument/2006/relationships/hyperlink" Target="https://hal.archives-ouvertes.fr/browse/doctype" TargetMode="External"/><Relationship Id="rId5" Type="http://schemas.openxmlformats.org/officeDocument/2006/relationships/hyperlink" Target="http://arxiv.org/" TargetMode="External"/><Relationship Id="rId10" Type="http://schemas.openxmlformats.org/officeDocument/2006/relationships/hyperlink" Target="https://pypi.org/project/langdetect/" TargetMode="External"/><Relationship Id="rId4" Type="http://schemas.openxmlformats.org/officeDocument/2006/relationships/hyperlink" Target="https://www.ccsd.cnrs.fr/" TargetMode="External"/><Relationship Id="rId9" Type="http://schemas.openxmlformats.org/officeDocument/2006/relationships/hyperlink" Target="http://universaldependencies.org/docs/format.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Bra17</b:Tag>
    <b:SourceType>InternetSite</b:SourceType>
    <b:Guid>{FC7D3000-8893-4E35-B580-97EDAFA4F66E}</b:Guid>
    <b:Title>The JavaScript Object Notation (JSON) Data Interchange Format</b:Title>
    <b:Year>2017</b:Year>
    <b:InternetSiteTitle>IETF Tools</b:InternetSiteTitle>
    <b:URL>https://tools.ietf.org/html/rfc8259</b:URL>
    <b:Author>
      <b:Author>
        <b:NameList>
          <b:Person>
            <b:Last>Bray</b:Last>
            <b:First>Tim</b:First>
          </b:Person>
        </b:NameList>
      </b:Author>
    </b:Author>
    <b:LCID>en-US</b:LCID>
    <b:RefOrder>3</b:RefOrder>
  </b:Source>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8</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5</b:RefOrder>
  </b:Source>
  <b:Source>
    <b:Tag>Hag04</b:Tag>
    <b:SourceType>JournalArticle</b:SourceType>
    <b:Guid>{2ED79D57-D946-4948-8807-C6B026717A3E}</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9</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10</b:RefOrder>
  </b:Source>
</b:Sources>
</file>

<file path=customXml/itemProps1.xml><?xml version="1.0" encoding="utf-8"?>
<ds:datastoreItem xmlns:ds="http://schemas.openxmlformats.org/officeDocument/2006/customXml" ds:itemID="{63B089CF-D84E-4220-8C00-6C117C33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32</Pages>
  <Words>10226</Words>
  <Characters>56248</Characters>
  <Application>Microsoft Office Word</Application>
  <DocSecurity>0</DocSecurity>
  <Lines>468</Lines>
  <Paragraphs>132</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66342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271</cp:revision>
  <dcterms:created xsi:type="dcterms:W3CDTF">2018-07-04T13:32:00Z</dcterms:created>
  <dcterms:modified xsi:type="dcterms:W3CDTF">2018-07-20T17:34:00Z</dcterms:modified>
</cp:coreProperties>
</file>