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022696"/>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A10EE7" w:rsidP="00A10EE7">
      <w:pPr>
        <w:ind w:firstLine="708"/>
        <w:jc w:val="right"/>
      </w:pPr>
      <w:proofErr w:type="spellStart"/>
      <w:r>
        <w:t>Swales</w:t>
      </w:r>
      <w:proofErr w:type="spellEnd"/>
      <w:r>
        <w:t xml:space="preserve"> (1990: 224)</w:t>
      </w:r>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EE7266"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022696" w:history="1">
            <w:r w:rsidR="00EE7266" w:rsidRPr="002334A1">
              <w:rPr>
                <w:rStyle w:val="Lienhypertexte"/>
                <w:noProof/>
              </w:rPr>
              <w:t>Remerciements</w:t>
            </w:r>
            <w:r w:rsidR="00EE7266">
              <w:rPr>
                <w:noProof/>
                <w:webHidden/>
              </w:rPr>
              <w:tab/>
            </w:r>
            <w:r w:rsidR="00EE7266">
              <w:rPr>
                <w:noProof/>
                <w:webHidden/>
              </w:rPr>
              <w:fldChar w:fldCharType="begin"/>
            </w:r>
            <w:r w:rsidR="00EE7266">
              <w:rPr>
                <w:noProof/>
                <w:webHidden/>
              </w:rPr>
              <w:instrText xml:space="preserve"> PAGEREF _Toc520022696 \h </w:instrText>
            </w:r>
            <w:r w:rsidR="00EE7266">
              <w:rPr>
                <w:noProof/>
                <w:webHidden/>
              </w:rPr>
            </w:r>
            <w:r w:rsidR="00EE7266">
              <w:rPr>
                <w:noProof/>
                <w:webHidden/>
              </w:rPr>
              <w:fldChar w:fldCharType="separate"/>
            </w:r>
            <w:r w:rsidR="00EE7266">
              <w:rPr>
                <w:noProof/>
                <w:webHidden/>
              </w:rPr>
              <w:t>3</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697" w:history="1">
            <w:r w:rsidR="00EE7266" w:rsidRPr="002334A1">
              <w:rPr>
                <w:rStyle w:val="Lienhypertexte"/>
                <w:noProof/>
              </w:rPr>
              <w:t>Introduction</w:t>
            </w:r>
            <w:r w:rsidR="00EE7266">
              <w:rPr>
                <w:noProof/>
                <w:webHidden/>
              </w:rPr>
              <w:tab/>
            </w:r>
            <w:r w:rsidR="00EE7266">
              <w:rPr>
                <w:noProof/>
                <w:webHidden/>
              </w:rPr>
              <w:fldChar w:fldCharType="begin"/>
            </w:r>
            <w:r w:rsidR="00EE7266">
              <w:rPr>
                <w:noProof/>
                <w:webHidden/>
              </w:rPr>
              <w:instrText xml:space="preserve"> PAGEREF _Toc520022697 \h </w:instrText>
            </w:r>
            <w:r w:rsidR="00EE7266">
              <w:rPr>
                <w:noProof/>
                <w:webHidden/>
              </w:rPr>
            </w:r>
            <w:r w:rsidR="00EE7266">
              <w:rPr>
                <w:noProof/>
                <w:webHidden/>
              </w:rPr>
              <w:fldChar w:fldCharType="separate"/>
            </w:r>
            <w:r w:rsidR="00EE7266">
              <w:rPr>
                <w:noProof/>
                <w:webHidden/>
              </w:rPr>
              <w:t>6</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698" w:history="1">
            <w:r w:rsidR="00EE7266" w:rsidRPr="002334A1">
              <w:rPr>
                <w:rStyle w:val="Lienhypertexte"/>
                <w:noProof/>
              </w:rPr>
              <w:t>I. Précédentes études sur les titres scientifiques</w:t>
            </w:r>
            <w:r w:rsidR="00EE7266">
              <w:rPr>
                <w:noProof/>
                <w:webHidden/>
              </w:rPr>
              <w:tab/>
            </w:r>
            <w:r w:rsidR="00EE7266">
              <w:rPr>
                <w:noProof/>
                <w:webHidden/>
              </w:rPr>
              <w:fldChar w:fldCharType="begin"/>
            </w:r>
            <w:r w:rsidR="00EE7266">
              <w:rPr>
                <w:noProof/>
                <w:webHidden/>
              </w:rPr>
              <w:instrText xml:space="preserve"> PAGEREF _Toc520022698 \h </w:instrText>
            </w:r>
            <w:r w:rsidR="00EE7266">
              <w:rPr>
                <w:noProof/>
                <w:webHidden/>
              </w:rPr>
            </w:r>
            <w:r w:rsidR="00EE7266">
              <w:rPr>
                <w:noProof/>
                <w:webHidden/>
              </w:rPr>
              <w:fldChar w:fldCharType="separate"/>
            </w:r>
            <w:r w:rsidR="00EE7266">
              <w:rPr>
                <w:noProof/>
                <w:webHidden/>
              </w:rPr>
              <w:t>7</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699" w:history="1">
            <w:r w:rsidR="00EE7266" w:rsidRPr="002334A1">
              <w:rPr>
                <w:rStyle w:val="Lienhypertexte"/>
                <w:noProof/>
              </w:rPr>
              <w:t>I.1 Le titre et ses problématiques</w:t>
            </w:r>
            <w:r w:rsidR="00EE7266">
              <w:rPr>
                <w:noProof/>
                <w:webHidden/>
              </w:rPr>
              <w:tab/>
            </w:r>
            <w:r w:rsidR="00EE7266">
              <w:rPr>
                <w:noProof/>
                <w:webHidden/>
              </w:rPr>
              <w:fldChar w:fldCharType="begin"/>
            </w:r>
            <w:r w:rsidR="00EE7266">
              <w:rPr>
                <w:noProof/>
                <w:webHidden/>
              </w:rPr>
              <w:instrText xml:space="preserve"> PAGEREF _Toc520022699 \h </w:instrText>
            </w:r>
            <w:r w:rsidR="00EE7266">
              <w:rPr>
                <w:noProof/>
                <w:webHidden/>
              </w:rPr>
            </w:r>
            <w:r w:rsidR="00EE7266">
              <w:rPr>
                <w:noProof/>
                <w:webHidden/>
              </w:rPr>
              <w:fldChar w:fldCharType="separate"/>
            </w:r>
            <w:r w:rsidR="00EE7266">
              <w:rPr>
                <w:noProof/>
                <w:webHidden/>
              </w:rPr>
              <w:t>7</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00" w:history="1">
            <w:r w:rsidR="00EE7266" w:rsidRPr="002334A1">
              <w:rPr>
                <w:rStyle w:val="Lienhypertexte"/>
                <w:noProof/>
              </w:rPr>
              <w:t>I.2 Traits étudiés des titres</w:t>
            </w:r>
            <w:r w:rsidR="00EE7266">
              <w:rPr>
                <w:noProof/>
                <w:webHidden/>
              </w:rPr>
              <w:tab/>
            </w:r>
            <w:r w:rsidR="00EE7266">
              <w:rPr>
                <w:noProof/>
                <w:webHidden/>
              </w:rPr>
              <w:fldChar w:fldCharType="begin"/>
            </w:r>
            <w:r w:rsidR="00EE7266">
              <w:rPr>
                <w:noProof/>
                <w:webHidden/>
              </w:rPr>
              <w:instrText xml:space="preserve"> PAGEREF _Toc520022700 \h </w:instrText>
            </w:r>
            <w:r w:rsidR="00EE7266">
              <w:rPr>
                <w:noProof/>
                <w:webHidden/>
              </w:rPr>
            </w:r>
            <w:r w:rsidR="00EE7266">
              <w:rPr>
                <w:noProof/>
                <w:webHidden/>
              </w:rPr>
              <w:fldChar w:fldCharType="separate"/>
            </w:r>
            <w:r w:rsidR="00EE7266">
              <w:rPr>
                <w:noProof/>
                <w:webHidden/>
              </w:rPr>
              <w:t>7</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01" w:history="1">
            <w:r w:rsidR="00EE7266" w:rsidRPr="002334A1">
              <w:rPr>
                <w:rStyle w:val="Lienhypertexte"/>
                <w:noProof/>
              </w:rPr>
              <w:t>I.3 Caractéristiques des documents</w:t>
            </w:r>
            <w:r w:rsidR="00EE7266">
              <w:rPr>
                <w:noProof/>
                <w:webHidden/>
              </w:rPr>
              <w:tab/>
            </w:r>
            <w:r w:rsidR="00EE7266">
              <w:rPr>
                <w:noProof/>
                <w:webHidden/>
              </w:rPr>
              <w:fldChar w:fldCharType="begin"/>
            </w:r>
            <w:r w:rsidR="00EE7266">
              <w:rPr>
                <w:noProof/>
                <w:webHidden/>
              </w:rPr>
              <w:instrText xml:space="preserve"> PAGEREF _Toc520022701 \h </w:instrText>
            </w:r>
            <w:r w:rsidR="00EE7266">
              <w:rPr>
                <w:noProof/>
                <w:webHidden/>
              </w:rPr>
            </w:r>
            <w:r w:rsidR="00EE7266">
              <w:rPr>
                <w:noProof/>
                <w:webHidden/>
              </w:rPr>
              <w:fldChar w:fldCharType="separate"/>
            </w:r>
            <w:r w:rsidR="00EE7266">
              <w:rPr>
                <w:noProof/>
                <w:webHidden/>
              </w:rPr>
              <w:t>8</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02" w:history="1">
            <w:r w:rsidR="00EE7266" w:rsidRPr="002334A1">
              <w:rPr>
                <w:rStyle w:val="Lienhypertexte"/>
                <w:noProof/>
              </w:rPr>
              <w:t>II.1.B Second groupe d’articles</w:t>
            </w:r>
            <w:r w:rsidR="00EE7266">
              <w:rPr>
                <w:noProof/>
                <w:webHidden/>
              </w:rPr>
              <w:tab/>
            </w:r>
            <w:r w:rsidR="00EE7266">
              <w:rPr>
                <w:noProof/>
                <w:webHidden/>
              </w:rPr>
              <w:fldChar w:fldCharType="begin"/>
            </w:r>
            <w:r w:rsidR="00EE7266">
              <w:rPr>
                <w:noProof/>
                <w:webHidden/>
              </w:rPr>
              <w:instrText xml:space="preserve"> PAGEREF _Toc520022702 \h </w:instrText>
            </w:r>
            <w:r w:rsidR="00EE7266">
              <w:rPr>
                <w:noProof/>
                <w:webHidden/>
              </w:rPr>
            </w:r>
            <w:r w:rsidR="00EE7266">
              <w:rPr>
                <w:noProof/>
                <w:webHidden/>
              </w:rPr>
              <w:fldChar w:fldCharType="separate"/>
            </w:r>
            <w:r w:rsidR="00EE7266">
              <w:rPr>
                <w:noProof/>
                <w:webHidden/>
              </w:rPr>
              <w:t>10</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03" w:history="1">
            <w:r w:rsidR="00EE7266" w:rsidRPr="002334A1">
              <w:rPr>
                <w:rStyle w:val="Lienhypertexte"/>
                <w:noProof/>
              </w:rPr>
              <w:t>I.4 Corpus utilisés</w:t>
            </w:r>
            <w:r w:rsidR="00EE7266">
              <w:rPr>
                <w:noProof/>
                <w:webHidden/>
              </w:rPr>
              <w:tab/>
            </w:r>
            <w:r w:rsidR="00EE7266">
              <w:rPr>
                <w:noProof/>
                <w:webHidden/>
              </w:rPr>
              <w:fldChar w:fldCharType="begin"/>
            </w:r>
            <w:r w:rsidR="00EE7266">
              <w:rPr>
                <w:noProof/>
                <w:webHidden/>
              </w:rPr>
              <w:instrText xml:space="preserve"> PAGEREF _Toc520022703 \h </w:instrText>
            </w:r>
            <w:r w:rsidR="00EE7266">
              <w:rPr>
                <w:noProof/>
                <w:webHidden/>
              </w:rPr>
            </w:r>
            <w:r w:rsidR="00EE7266">
              <w:rPr>
                <w:noProof/>
                <w:webHidden/>
              </w:rPr>
              <w:fldChar w:fldCharType="separate"/>
            </w:r>
            <w:r w:rsidR="00EE7266">
              <w:rPr>
                <w:noProof/>
                <w:webHidden/>
              </w:rPr>
              <w:t>10</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04" w:history="1">
            <w:r w:rsidR="00EE7266" w:rsidRPr="002334A1">
              <w:rPr>
                <w:rStyle w:val="Lienhypertexte"/>
                <w:noProof/>
              </w:rPr>
              <w:t>I.4 Typologies des titres</w:t>
            </w:r>
            <w:r w:rsidR="00EE7266">
              <w:rPr>
                <w:noProof/>
                <w:webHidden/>
              </w:rPr>
              <w:tab/>
            </w:r>
            <w:r w:rsidR="00EE7266">
              <w:rPr>
                <w:noProof/>
                <w:webHidden/>
              </w:rPr>
              <w:fldChar w:fldCharType="begin"/>
            </w:r>
            <w:r w:rsidR="00EE7266">
              <w:rPr>
                <w:noProof/>
                <w:webHidden/>
              </w:rPr>
              <w:instrText xml:space="preserve"> PAGEREF _Toc520022704 \h </w:instrText>
            </w:r>
            <w:r w:rsidR="00EE7266">
              <w:rPr>
                <w:noProof/>
                <w:webHidden/>
              </w:rPr>
            </w:r>
            <w:r w:rsidR="00EE7266">
              <w:rPr>
                <w:noProof/>
                <w:webHidden/>
              </w:rPr>
              <w:fldChar w:fldCharType="separate"/>
            </w:r>
            <w:r w:rsidR="00EE7266">
              <w:rPr>
                <w:noProof/>
                <w:webHidden/>
              </w:rPr>
              <w:t>11</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705" w:history="1">
            <w:r w:rsidR="00EE7266" w:rsidRPr="002334A1">
              <w:rPr>
                <w:rStyle w:val="Lienhypertexte"/>
                <w:noProof/>
              </w:rPr>
              <w:t>II. Corpus de travail</w:t>
            </w:r>
            <w:r w:rsidR="00EE7266">
              <w:rPr>
                <w:noProof/>
                <w:webHidden/>
              </w:rPr>
              <w:tab/>
            </w:r>
            <w:r w:rsidR="00EE7266">
              <w:rPr>
                <w:noProof/>
                <w:webHidden/>
              </w:rPr>
              <w:fldChar w:fldCharType="begin"/>
            </w:r>
            <w:r w:rsidR="00EE7266">
              <w:rPr>
                <w:noProof/>
                <w:webHidden/>
              </w:rPr>
              <w:instrText xml:space="preserve"> PAGEREF _Toc520022705 \h </w:instrText>
            </w:r>
            <w:r w:rsidR="00EE7266">
              <w:rPr>
                <w:noProof/>
                <w:webHidden/>
              </w:rPr>
            </w:r>
            <w:r w:rsidR="00EE7266">
              <w:rPr>
                <w:noProof/>
                <w:webHidden/>
              </w:rPr>
              <w:fldChar w:fldCharType="separate"/>
            </w:r>
            <w:r w:rsidR="00EE7266">
              <w:rPr>
                <w:noProof/>
                <w:webHidden/>
              </w:rPr>
              <w:t>11</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06" w:history="1">
            <w:r w:rsidR="00EE7266" w:rsidRPr="002334A1">
              <w:rPr>
                <w:rStyle w:val="Lienhypertexte"/>
                <w:noProof/>
              </w:rPr>
              <w:t>II.1 Présentation de HAL et extraction des données</w:t>
            </w:r>
            <w:r w:rsidR="00EE7266">
              <w:rPr>
                <w:noProof/>
                <w:webHidden/>
              </w:rPr>
              <w:tab/>
            </w:r>
            <w:r w:rsidR="00EE7266">
              <w:rPr>
                <w:noProof/>
                <w:webHidden/>
              </w:rPr>
              <w:fldChar w:fldCharType="begin"/>
            </w:r>
            <w:r w:rsidR="00EE7266">
              <w:rPr>
                <w:noProof/>
                <w:webHidden/>
              </w:rPr>
              <w:instrText xml:space="preserve"> PAGEREF _Toc520022706 \h </w:instrText>
            </w:r>
            <w:r w:rsidR="00EE7266">
              <w:rPr>
                <w:noProof/>
                <w:webHidden/>
              </w:rPr>
            </w:r>
            <w:r w:rsidR="00EE7266">
              <w:rPr>
                <w:noProof/>
                <w:webHidden/>
              </w:rPr>
              <w:fldChar w:fldCharType="separate"/>
            </w:r>
            <w:r w:rsidR="00EE7266">
              <w:rPr>
                <w:noProof/>
                <w:webHidden/>
              </w:rPr>
              <w:t>11</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07" w:history="1">
            <w:r w:rsidR="00EE7266" w:rsidRPr="002334A1">
              <w:rPr>
                <w:rStyle w:val="Lienhypertexte"/>
                <w:noProof/>
              </w:rPr>
              <w:t>II.2 Traitement des données et exemples</w:t>
            </w:r>
            <w:r w:rsidR="00EE7266">
              <w:rPr>
                <w:noProof/>
                <w:webHidden/>
              </w:rPr>
              <w:tab/>
            </w:r>
            <w:r w:rsidR="00EE7266">
              <w:rPr>
                <w:noProof/>
                <w:webHidden/>
              </w:rPr>
              <w:fldChar w:fldCharType="begin"/>
            </w:r>
            <w:r w:rsidR="00EE7266">
              <w:rPr>
                <w:noProof/>
                <w:webHidden/>
              </w:rPr>
              <w:instrText xml:space="preserve"> PAGEREF _Toc520022707 \h </w:instrText>
            </w:r>
            <w:r w:rsidR="00EE7266">
              <w:rPr>
                <w:noProof/>
                <w:webHidden/>
              </w:rPr>
            </w:r>
            <w:r w:rsidR="00EE7266">
              <w:rPr>
                <w:noProof/>
                <w:webHidden/>
              </w:rPr>
              <w:fldChar w:fldCharType="separate"/>
            </w:r>
            <w:r w:rsidR="00EE7266">
              <w:rPr>
                <w:noProof/>
                <w:webHidden/>
              </w:rPr>
              <w:t>12</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08" w:history="1">
            <w:r w:rsidR="00EE7266" w:rsidRPr="002334A1">
              <w:rPr>
                <w:rStyle w:val="Lienhypertexte"/>
                <w:noProof/>
              </w:rPr>
              <w:t>A) Enrichissement des données</w:t>
            </w:r>
            <w:r w:rsidR="00EE7266">
              <w:rPr>
                <w:noProof/>
                <w:webHidden/>
              </w:rPr>
              <w:tab/>
            </w:r>
            <w:r w:rsidR="00EE7266">
              <w:rPr>
                <w:noProof/>
                <w:webHidden/>
              </w:rPr>
              <w:fldChar w:fldCharType="begin"/>
            </w:r>
            <w:r w:rsidR="00EE7266">
              <w:rPr>
                <w:noProof/>
                <w:webHidden/>
              </w:rPr>
              <w:instrText xml:space="preserve"> PAGEREF _Toc520022708 \h </w:instrText>
            </w:r>
            <w:r w:rsidR="00EE7266">
              <w:rPr>
                <w:noProof/>
                <w:webHidden/>
              </w:rPr>
            </w:r>
            <w:r w:rsidR="00EE7266">
              <w:rPr>
                <w:noProof/>
                <w:webHidden/>
              </w:rPr>
              <w:fldChar w:fldCharType="separate"/>
            </w:r>
            <w:r w:rsidR="00EE7266">
              <w:rPr>
                <w:noProof/>
                <w:webHidden/>
              </w:rPr>
              <w:t>12</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09" w:history="1">
            <w:r w:rsidR="00EE7266" w:rsidRPr="002334A1">
              <w:rPr>
                <w:rStyle w:val="Lienhypertexte"/>
                <w:noProof/>
              </w:rPr>
              <w:t>B) Conversions</w:t>
            </w:r>
            <w:r w:rsidR="00EE7266">
              <w:rPr>
                <w:noProof/>
                <w:webHidden/>
              </w:rPr>
              <w:tab/>
            </w:r>
            <w:r w:rsidR="00EE7266">
              <w:rPr>
                <w:noProof/>
                <w:webHidden/>
              </w:rPr>
              <w:fldChar w:fldCharType="begin"/>
            </w:r>
            <w:r w:rsidR="00EE7266">
              <w:rPr>
                <w:noProof/>
                <w:webHidden/>
              </w:rPr>
              <w:instrText xml:space="preserve"> PAGEREF _Toc520022709 \h </w:instrText>
            </w:r>
            <w:r w:rsidR="00EE7266">
              <w:rPr>
                <w:noProof/>
                <w:webHidden/>
              </w:rPr>
            </w:r>
            <w:r w:rsidR="00EE7266">
              <w:rPr>
                <w:noProof/>
                <w:webHidden/>
              </w:rPr>
              <w:fldChar w:fldCharType="separate"/>
            </w:r>
            <w:r w:rsidR="00EE7266">
              <w:rPr>
                <w:noProof/>
                <w:webHidden/>
              </w:rPr>
              <w:t>13</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10" w:history="1">
            <w:r w:rsidR="00EE7266" w:rsidRPr="002334A1">
              <w:rPr>
                <w:rStyle w:val="Lienhypertexte"/>
                <w:noProof/>
              </w:rPr>
              <w:t>C) Filtrage</w:t>
            </w:r>
            <w:r w:rsidR="00EE7266">
              <w:rPr>
                <w:noProof/>
                <w:webHidden/>
              </w:rPr>
              <w:tab/>
            </w:r>
            <w:r w:rsidR="00EE7266">
              <w:rPr>
                <w:noProof/>
                <w:webHidden/>
              </w:rPr>
              <w:fldChar w:fldCharType="begin"/>
            </w:r>
            <w:r w:rsidR="00EE7266">
              <w:rPr>
                <w:noProof/>
                <w:webHidden/>
              </w:rPr>
              <w:instrText xml:space="preserve"> PAGEREF _Toc520022710 \h </w:instrText>
            </w:r>
            <w:r w:rsidR="00EE7266">
              <w:rPr>
                <w:noProof/>
                <w:webHidden/>
              </w:rPr>
            </w:r>
            <w:r w:rsidR="00EE7266">
              <w:rPr>
                <w:noProof/>
                <w:webHidden/>
              </w:rPr>
              <w:fldChar w:fldCharType="separate"/>
            </w:r>
            <w:r w:rsidR="00EE7266">
              <w:rPr>
                <w:noProof/>
                <w:webHidden/>
              </w:rPr>
              <w:t>15</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11" w:history="1">
            <w:r w:rsidR="00EE7266" w:rsidRPr="002334A1">
              <w:rPr>
                <w:rStyle w:val="Lienhypertexte"/>
                <w:noProof/>
              </w:rPr>
              <w:t>II.3 Constations et exemples</w:t>
            </w:r>
            <w:r w:rsidR="00EE7266">
              <w:rPr>
                <w:noProof/>
                <w:webHidden/>
              </w:rPr>
              <w:tab/>
            </w:r>
            <w:r w:rsidR="00EE7266">
              <w:rPr>
                <w:noProof/>
                <w:webHidden/>
              </w:rPr>
              <w:fldChar w:fldCharType="begin"/>
            </w:r>
            <w:r w:rsidR="00EE7266">
              <w:rPr>
                <w:noProof/>
                <w:webHidden/>
              </w:rPr>
              <w:instrText xml:space="preserve"> PAGEREF _Toc520022711 \h </w:instrText>
            </w:r>
            <w:r w:rsidR="00EE7266">
              <w:rPr>
                <w:noProof/>
                <w:webHidden/>
              </w:rPr>
            </w:r>
            <w:r w:rsidR="00EE7266">
              <w:rPr>
                <w:noProof/>
                <w:webHidden/>
              </w:rPr>
              <w:fldChar w:fldCharType="separate"/>
            </w:r>
            <w:r w:rsidR="00EE7266">
              <w:rPr>
                <w:noProof/>
                <w:webHidden/>
              </w:rPr>
              <w:t>16</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12" w:history="1">
            <w:r w:rsidR="00EE7266" w:rsidRPr="002334A1">
              <w:rPr>
                <w:rStyle w:val="Lienhypertexte"/>
                <w:noProof/>
              </w:rPr>
              <w:t>II.3.1 Caractéristiques de nos corpus</w:t>
            </w:r>
            <w:r w:rsidR="00EE7266">
              <w:rPr>
                <w:noProof/>
                <w:webHidden/>
              </w:rPr>
              <w:tab/>
            </w:r>
            <w:r w:rsidR="00EE7266">
              <w:rPr>
                <w:noProof/>
                <w:webHidden/>
              </w:rPr>
              <w:fldChar w:fldCharType="begin"/>
            </w:r>
            <w:r w:rsidR="00EE7266">
              <w:rPr>
                <w:noProof/>
                <w:webHidden/>
              </w:rPr>
              <w:instrText xml:space="preserve"> PAGEREF _Toc520022712 \h </w:instrText>
            </w:r>
            <w:r w:rsidR="00EE7266">
              <w:rPr>
                <w:noProof/>
                <w:webHidden/>
              </w:rPr>
            </w:r>
            <w:r w:rsidR="00EE7266">
              <w:rPr>
                <w:noProof/>
                <w:webHidden/>
              </w:rPr>
              <w:fldChar w:fldCharType="separate"/>
            </w:r>
            <w:r w:rsidR="00EE7266">
              <w:rPr>
                <w:noProof/>
                <w:webHidden/>
              </w:rPr>
              <w:t>17</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13" w:history="1">
            <w:r w:rsidR="00EE7266" w:rsidRPr="002334A1">
              <w:rPr>
                <w:rStyle w:val="Lienhypertexte"/>
                <w:noProof/>
              </w:rPr>
              <w:t>II.3.2 Connexions avec les autres études</w:t>
            </w:r>
            <w:r w:rsidR="00EE7266">
              <w:rPr>
                <w:noProof/>
                <w:webHidden/>
              </w:rPr>
              <w:tab/>
            </w:r>
            <w:r w:rsidR="00EE7266">
              <w:rPr>
                <w:noProof/>
                <w:webHidden/>
              </w:rPr>
              <w:fldChar w:fldCharType="begin"/>
            </w:r>
            <w:r w:rsidR="00EE7266">
              <w:rPr>
                <w:noProof/>
                <w:webHidden/>
              </w:rPr>
              <w:instrText xml:space="preserve"> PAGEREF _Toc520022713 \h </w:instrText>
            </w:r>
            <w:r w:rsidR="00EE7266">
              <w:rPr>
                <w:noProof/>
                <w:webHidden/>
              </w:rPr>
            </w:r>
            <w:r w:rsidR="00EE7266">
              <w:rPr>
                <w:noProof/>
                <w:webHidden/>
              </w:rPr>
              <w:fldChar w:fldCharType="separate"/>
            </w:r>
            <w:r w:rsidR="00EE7266">
              <w:rPr>
                <w:noProof/>
                <w:webHidden/>
              </w:rPr>
              <w:t>18</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14" w:history="1">
            <w:r w:rsidR="00EE7266" w:rsidRPr="002334A1">
              <w:rPr>
                <w:rStyle w:val="Lienhypertexte"/>
                <w:rFonts w:eastAsia="Times New Roman"/>
                <w:noProof/>
              </w:rPr>
              <w:t>II.3.3 Quelques exemples de titres</w:t>
            </w:r>
            <w:r w:rsidR="00EE7266">
              <w:rPr>
                <w:noProof/>
                <w:webHidden/>
              </w:rPr>
              <w:tab/>
            </w:r>
            <w:r w:rsidR="00EE7266">
              <w:rPr>
                <w:noProof/>
                <w:webHidden/>
              </w:rPr>
              <w:fldChar w:fldCharType="begin"/>
            </w:r>
            <w:r w:rsidR="00EE7266">
              <w:rPr>
                <w:noProof/>
                <w:webHidden/>
              </w:rPr>
              <w:instrText xml:space="preserve"> PAGEREF _Toc520022714 \h </w:instrText>
            </w:r>
            <w:r w:rsidR="00EE7266">
              <w:rPr>
                <w:noProof/>
                <w:webHidden/>
              </w:rPr>
            </w:r>
            <w:r w:rsidR="00EE7266">
              <w:rPr>
                <w:noProof/>
                <w:webHidden/>
              </w:rPr>
              <w:fldChar w:fldCharType="separate"/>
            </w:r>
            <w:r w:rsidR="00EE7266">
              <w:rPr>
                <w:noProof/>
                <w:webHidden/>
              </w:rPr>
              <w:t>22</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715" w:history="1">
            <w:r w:rsidR="00EE7266" w:rsidRPr="002334A1">
              <w:rPr>
                <w:rStyle w:val="Lienhypertexte"/>
                <w:noProof/>
              </w:rPr>
              <w:t>III. Syntagmes et patrons</w:t>
            </w:r>
            <w:r w:rsidR="00EE7266">
              <w:rPr>
                <w:noProof/>
                <w:webHidden/>
              </w:rPr>
              <w:tab/>
            </w:r>
            <w:r w:rsidR="00EE7266">
              <w:rPr>
                <w:noProof/>
                <w:webHidden/>
              </w:rPr>
              <w:fldChar w:fldCharType="begin"/>
            </w:r>
            <w:r w:rsidR="00EE7266">
              <w:rPr>
                <w:noProof/>
                <w:webHidden/>
              </w:rPr>
              <w:instrText xml:space="preserve"> PAGEREF _Toc520022715 \h </w:instrText>
            </w:r>
            <w:r w:rsidR="00EE7266">
              <w:rPr>
                <w:noProof/>
                <w:webHidden/>
              </w:rPr>
            </w:r>
            <w:r w:rsidR="00EE7266">
              <w:rPr>
                <w:noProof/>
                <w:webHidden/>
              </w:rPr>
              <w:fldChar w:fldCharType="separate"/>
            </w:r>
            <w:r w:rsidR="00EE7266">
              <w:rPr>
                <w:noProof/>
                <w:webHidden/>
              </w:rPr>
              <w:t>22</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16" w:history="1">
            <w:r w:rsidR="00EE7266" w:rsidRPr="002334A1">
              <w:rPr>
                <w:rStyle w:val="Lienhypertexte"/>
                <w:noProof/>
              </w:rPr>
              <w:t>III.1 Rappel sur les syntagmes</w:t>
            </w:r>
            <w:r w:rsidR="00EE7266">
              <w:rPr>
                <w:noProof/>
                <w:webHidden/>
              </w:rPr>
              <w:tab/>
            </w:r>
            <w:r w:rsidR="00EE7266">
              <w:rPr>
                <w:noProof/>
                <w:webHidden/>
              </w:rPr>
              <w:fldChar w:fldCharType="begin"/>
            </w:r>
            <w:r w:rsidR="00EE7266">
              <w:rPr>
                <w:noProof/>
                <w:webHidden/>
              </w:rPr>
              <w:instrText xml:space="preserve"> PAGEREF _Toc520022716 \h </w:instrText>
            </w:r>
            <w:r w:rsidR="00EE7266">
              <w:rPr>
                <w:noProof/>
                <w:webHidden/>
              </w:rPr>
            </w:r>
            <w:r w:rsidR="00EE7266">
              <w:rPr>
                <w:noProof/>
                <w:webHidden/>
              </w:rPr>
              <w:fldChar w:fldCharType="separate"/>
            </w:r>
            <w:r w:rsidR="00EE7266">
              <w:rPr>
                <w:noProof/>
                <w:webHidden/>
              </w:rPr>
              <w:t>22</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17" w:history="1">
            <w:r w:rsidR="00EE7266" w:rsidRPr="002334A1">
              <w:rPr>
                <w:rStyle w:val="Lienhypertexte"/>
                <w:noProof/>
              </w:rPr>
              <w:t>III.2 Limites de notre étude</w:t>
            </w:r>
            <w:r w:rsidR="00EE7266">
              <w:rPr>
                <w:noProof/>
                <w:webHidden/>
              </w:rPr>
              <w:tab/>
            </w:r>
            <w:r w:rsidR="00EE7266">
              <w:rPr>
                <w:noProof/>
                <w:webHidden/>
              </w:rPr>
              <w:fldChar w:fldCharType="begin"/>
            </w:r>
            <w:r w:rsidR="00EE7266">
              <w:rPr>
                <w:noProof/>
                <w:webHidden/>
              </w:rPr>
              <w:instrText xml:space="preserve"> PAGEREF _Toc520022717 \h </w:instrText>
            </w:r>
            <w:r w:rsidR="00EE7266">
              <w:rPr>
                <w:noProof/>
                <w:webHidden/>
              </w:rPr>
            </w:r>
            <w:r w:rsidR="00EE7266">
              <w:rPr>
                <w:noProof/>
                <w:webHidden/>
              </w:rPr>
              <w:fldChar w:fldCharType="separate"/>
            </w:r>
            <w:r w:rsidR="00EE7266">
              <w:rPr>
                <w:noProof/>
                <w:webHidden/>
              </w:rPr>
              <w:t>23</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18" w:history="1">
            <w:r w:rsidR="00EE7266" w:rsidRPr="002334A1">
              <w:rPr>
                <w:rStyle w:val="Lienhypertexte"/>
                <w:noProof/>
              </w:rPr>
              <w:t>III.3 Définition des patrons</w:t>
            </w:r>
            <w:r w:rsidR="00EE7266">
              <w:rPr>
                <w:noProof/>
                <w:webHidden/>
              </w:rPr>
              <w:tab/>
            </w:r>
            <w:r w:rsidR="00EE7266">
              <w:rPr>
                <w:noProof/>
                <w:webHidden/>
              </w:rPr>
              <w:fldChar w:fldCharType="begin"/>
            </w:r>
            <w:r w:rsidR="00EE7266">
              <w:rPr>
                <w:noProof/>
                <w:webHidden/>
              </w:rPr>
              <w:instrText xml:space="preserve"> PAGEREF _Toc520022718 \h </w:instrText>
            </w:r>
            <w:r w:rsidR="00EE7266">
              <w:rPr>
                <w:noProof/>
                <w:webHidden/>
              </w:rPr>
            </w:r>
            <w:r w:rsidR="00EE7266">
              <w:rPr>
                <w:noProof/>
                <w:webHidden/>
              </w:rPr>
              <w:fldChar w:fldCharType="separate"/>
            </w:r>
            <w:r w:rsidR="00EE7266">
              <w:rPr>
                <w:noProof/>
                <w:webHidden/>
              </w:rPr>
              <w:t>24</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19" w:history="1">
            <w:r w:rsidR="00EE7266" w:rsidRPr="002334A1">
              <w:rPr>
                <w:rStyle w:val="Lienhypertexte"/>
                <w:noProof/>
              </w:rPr>
              <w:t>III.4 Construction itérative de trois patrons</w:t>
            </w:r>
            <w:r w:rsidR="00EE7266">
              <w:rPr>
                <w:noProof/>
                <w:webHidden/>
              </w:rPr>
              <w:tab/>
            </w:r>
            <w:r w:rsidR="00EE7266">
              <w:rPr>
                <w:noProof/>
                <w:webHidden/>
              </w:rPr>
              <w:fldChar w:fldCharType="begin"/>
            </w:r>
            <w:r w:rsidR="00EE7266">
              <w:rPr>
                <w:noProof/>
                <w:webHidden/>
              </w:rPr>
              <w:instrText xml:space="preserve"> PAGEREF _Toc520022719 \h </w:instrText>
            </w:r>
            <w:r w:rsidR="00EE7266">
              <w:rPr>
                <w:noProof/>
                <w:webHidden/>
              </w:rPr>
            </w:r>
            <w:r w:rsidR="00EE7266">
              <w:rPr>
                <w:noProof/>
                <w:webHidden/>
              </w:rPr>
              <w:fldChar w:fldCharType="separate"/>
            </w:r>
            <w:r w:rsidR="00EE7266">
              <w:rPr>
                <w:noProof/>
                <w:webHidden/>
              </w:rPr>
              <w:t>25</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720" w:history="1">
            <w:r w:rsidR="00EE7266" w:rsidRPr="002334A1">
              <w:rPr>
                <w:rStyle w:val="Lienhypertexte"/>
                <w:noProof/>
              </w:rPr>
              <w:t>IV. Études des trois patrons</w:t>
            </w:r>
            <w:r w:rsidR="00EE7266">
              <w:rPr>
                <w:noProof/>
                <w:webHidden/>
              </w:rPr>
              <w:tab/>
            </w:r>
            <w:r w:rsidR="00EE7266">
              <w:rPr>
                <w:noProof/>
                <w:webHidden/>
              </w:rPr>
              <w:fldChar w:fldCharType="begin"/>
            </w:r>
            <w:r w:rsidR="00EE7266">
              <w:rPr>
                <w:noProof/>
                <w:webHidden/>
              </w:rPr>
              <w:instrText xml:space="preserve"> PAGEREF _Toc520022720 \h </w:instrText>
            </w:r>
            <w:r w:rsidR="00EE7266">
              <w:rPr>
                <w:noProof/>
                <w:webHidden/>
              </w:rPr>
            </w:r>
            <w:r w:rsidR="00EE7266">
              <w:rPr>
                <w:noProof/>
                <w:webHidden/>
              </w:rPr>
              <w:fldChar w:fldCharType="separate"/>
            </w:r>
            <w:r w:rsidR="00EE7266">
              <w:rPr>
                <w:noProof/>
                <w:webHidden/>
              </w:rPr>
              <w:t>27</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21" w:history="1">
            <w:r w:rsidR="00EE7266" w:rsidRPr="002334A1">
              <w:rPr>
                <w:rStyle w:val="Lienhypertexte"/>
                <w:noProof/>
              </w:rPr>
              <w:t>IV.1 Patron n°1 : syntagme nominal</w:t>
            </w:r>
            <w:r w:rsidR="00EE7266">
              <w:rPr>
                <w:noProof/>
                <w:webHidden/>
              </w:rPr>
              <w:tab/>
            </w:r>
            <w:r w:rsidR="00EE7266">
              <w:rPr>
                <w:noProof/>
                <w:webHidden/>
              </w:rPr>
              <w:fldChar w:fldCharType="begin"/>
            </w:r>
            <w:r w:rsidR="00EE7266">
              <w:rPr>
                <w:noProof/>
                <w:webHidden/>
              </w:rPr>
              <w:instrText xml:space="preserve"> PAGEREF _Toc520022721 \h </w:instrText>
            </w:r>
            <w:r w:rsidR="00EE7266">
              <w:rPr>
                <w:noProof/>
                <w:webHidden/>
              </w:rPr>
            </w:r>
            <w:r w:rsidR="00EE7266">
              <w:rPr>
                <w:noProof/>
                <w:webHidden/>
              </w:rPr>
              <w:fldChar w:fldCharType="separate"/>
            </w:r>
            <w:r w:rsidR="00EE7266">
              <w:rPr>
                <w:noProof/>
                <w:webHidden/>
              </w:rPr>
              <w:t>27</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22" w:history="1">
            <w:r w:rsidR="00EE7266" w:rsidRPr="002334A1">
              <w:rPr>
                <w:rStyle w:val="Lienhypertexte"/>
                <w:noProof/>
              </w:rPr>
              <w:t>IV.1.A Fiche d’identité</w:t>
            </w:r>
            <w:r w:rsidR="00EE7266">
              <w:rPr>
                <w:noProof/>
                <w:webHidden/>
              </w:rPr>
              <w:tab/>
            </w:r>
            <w:r w:rsidR="00EE7266">
              <w:rPr>
                <w:noProof/>
                <w:webHidden/>
              </w:rPr>
              <w:fldChar w:fldCharType="begin"/>
            </w:r>
            <w:r w:rsidR="00EE7266">
              <w:rPr>
                <w:noProof/>
                <w:webHidden/>
              </w:rPr>
              <w:instrText xml:space="preserve"> PAGEREF _Toc520022722 \h </w:instrText>
            </w:r>
            <w:r w:rsidR="00EE7266">
              <w:rPr>
                <w:noProof/>
                <w:webHidden/>
              </w:rPr>
            </w:r>
            <w:r w:rsidR="00EE7266">
              <w:rPr>
                <w:noProof/>
                <w:webHidden/>
              </w:rPr>
              <w:fldChar w:fldCharType="separate"/>
            </w:r>
            <w:r w:rsidR="00EE7266">
              <w:rPr>
                <w:noProof/>
                <w:webHidden/>
              </w:rPr>
              <w:t>27</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23" w:history="1">
            <w:r w:rsidR="00EE7266" w:rsidRPr="002334A1">
              <w:rPr>
                <w:rStyle w:val="Lienhypertexte"/>
                <w:noProof/>
              </w:rPr>
              <w:t>IV.2 Patron n°2 : syntagme prépositionnel</w:t>
            </w:r>
            <w:r w:rsidR="00EE7266">
              <w:rPr>
                <w:noProof/>
                <w:webHidden/>
              </w:rPr>
              <w:tab/>
            </w:r>
            <w:r w:rsidR="00EE7266">
              <w:rPr>
                <w:noProof/>
                <w:webHidden/>
              </w:rPr>
              <w:fldChar w:fldCharType="begin"/>
            </w:r>
            <w:r w:rsidR="00EE7266">
              <w:rPr>
                <w:noProof/>
                <w:webHidden/>
              </w:rPr>
              <w:instrText xml:space="preserve"> PAGEREF _Toc520022723 \h </w:instrText>
            </w:r>
            <w:r w:rsidR="00EE7266">
              <w:rPr>
                <w:noProof/>
                <w:webHidden/>
              </w:rPr>
            </w:r>
            <w:r w:rsidR="00EE7266">
              <w:rPr>
                <w:noProof/>
                <w:webHidden/>
              </w:rPr>
              <w:fldChar w:fldCharType="separate"/>
            </w:r>
            <w:r w:rsidR="00EE7266">
              <w:rPr>
                <w:noProof/>
                <w:webHidden/>
              </w:rPr>
              <w:t>28</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24" w:history="1">
            <w:r w:rsidR="00EE7266" w:rsidRPr="002334A1">
              <w:rPr>
                <w:rStyle w:val="Lienhypertexte"/>
                <w:noProof/>
              </w:rPr>
              <w:t>IV.2.A Fiche d’identité</w:t>
            </w:r>
            <w:r w:rsidR="00EE7266">
              <w:rPr>
                <w:noProof/>
                <w:webHidden/>
              </w:rPr>
              <w:tab/>
            </w:r>
            <w:r w:rsidR="00EE7266">
              <w:rPr>
                <w:noProof/>
                <w:webHidden/>
              </w:rPr>
              <w:fldChar w:fldCharType="begin"/>
            </w:r>
            <w:r w:rsidR="00EE7266">
              <w:rPr>
                <w:noProof/>
                <w:webHidden/>
              </w:rPr>
              <w:instrText xml:space="preserve"> PAGEREF _Toc520022724 \h </w:instrText>
            </w:r>
            <w:r w:rsidR="00EE7266">
              <w:rPr>
                <w:noProof/>
                <w:webHidden/>
              </w:rPr>
            </w:r>
            <w:r w:rsidR="00EE7266">
              <w:rPr>
                <w:noProof/>
                <w:webHidden/>
              </w:rPr>
              <w:fldChar w:fldCharType="separate"/>
            </w:r>
            <w:r w:rsidR="00EE7266">
              <w:rPr>
                <w:noProof/>
                <w:webHidden/>
              </w:rPr>
              <w:t>28</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25" w:history="1">
            <w:r w:rsidR="00EE7266" w:rsidRPr="002334A1">
              <w:rPr>
                <w:rStyle w:val="Lienhypertexte"/>
                <w:noProof/>
              </w:rPr>
              <w:t>IV.3 Patron n°3 : syntagme verbal</w:t>
            </w:r>
            <w:r w:rsidR="00EE7266">
              <w:rPr>
                <w:noProof/>
                <w:webHidden/>
              </w:rPr>
              <w:tab/>
            </w:r>
            <w:r w:rsidR="00EE7266">
              <w:rPr>
                <w:noProof/>
                <w:webHidden/>
              </w:rPr>
              <w:fldChar w:fldCharType="begin"/>
            </w:r>
            <w:r w:rsidR="00EE7266">
              <w:rPr>
                <w:noProof/>
                <w:webHidden/>
              </w:rPr>
              <w:instrText xml:space="preserve"> PAGEREF _Toc520022725 \h </w:instrText>
            </w:r>
            <w:r w:rsidR="00EE7266">
              <w:rPr>
                <w:noProof/>
                <w:webHidden/>
              </w:rPr>
            </w:r>
            <w:r w:rsidR="00EE7266">
              <w:rPr>
                <w:noProof/>
                <w:webHidden/>
              </w:rPr>
              <w:fldChar w:fldCharType="separate"/>
            </w:r>
            <w:r w:rsidR="00EE7266">
              <w:rPr>
                <w:noProof/>
                <w:webHidden/>
              </w:rPr>
              <w:t>28</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26" w:history="1">
            <w:r w:rsidR="00EE7266" w:rsidRPr="002334A1">
              <w:rPr>
                <w:rStyle w:val="Lienhypertexte"/>
                <w:noProof/>
              </w:rPr>
              <w:t>IV.2.A Fiche d’identité</w:t>
            </w:r>
            <w:r w:rsidR="00EE7266">
              <w:rPr>
                <w:noProof/>
                <w:webHidden/>
              </w:rPr>
              <w:tab/>
            </w:r>
            <w:r w:rsidR="00EE7266">
              <w:rPr>
                <w:noProof/>
                <w:webHidden/>
              </w:rPr>
              <w:fldChar w:fldCharType="begin"/>
            </w:r>
            <w:r w:rsidR="00EE7266">
              <w:rPr>
                <w:noProof/>
                <w:webHidden/>
              </w:rPr>
              <w:instrText xml:space="preserve"> PAGEREF _Toc520022726 \h </w:instrText>
            </w:r>
            <w:r w:rsidR="00EE7266">
              <w:rPr>
                <w:noProof/>
                <w:webHidden/>
              </w:rPr>
            </w:r>
            <w:r w:rsidR="00EE7266">
              <w:rPr>
                <w:noProof/>
                <w:webHidden/>
              </w:rPr>
              <w:fldChar w:fldCharType="separate"/>
            </w:r>
            <w:r w:rsidR="00EE7266">
              <w:rPr>
                <w:noProof/>
                <w:webHidden/>
              </w:rPr>
              <w:t>28</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27" w:history="1">
            <w:r w:rsidR="00EE7266" w:rsidRPr="002334A1">
              <w:rPr>
                <w:rStyle w:val="Lienhypertexte"/>
                <w:noProof/>
              </w:rPr>
              <w:t>IV.2.B Exemples</w:t>
            </w:r>
            <w:r w:rsidR="00EE7266">
              <w:rPr>
                <w:noProof/>
                <w:webHidden/>
              </w:rPr>
              <w:tab/>
            </w:r>
            <w:r w:rsidR="00EE7266">
              <w:rPr>
                <w:noProof/>
                <w:webHidden/>
              </w:rPr>
              <w:fldChar w:fldCharType="begin"/>
            </w:r>
            <w:r w:rsidR="00EE7266">
              <w:rPr>
                <w:noProof/>
                <w:webHidden/>
              </w:rPr>
              <w:instrText xml:space="preserve"> PAGEREF _Toc520022727 \h </w:instrText>
            </w:r>
            <w:r w:rsidR="00EE7266">
              <w:rPr>
                <w:noProof/>
                <w:webHidden/>
              </w:rPr>
            </w:r>
            <w:r w:rsidR="00EE7266">
              <w:rPr>
                <w:noProof/>
                <w:webHidden/>
              </w:rPr>
              <w:fldChar w:fldCharType="separate"/>
            </w:r>
            <w:r w:rsidR="00EE7266">
              <w:rPr>
                <w:noProof/>
                <w:webHidden/>
              </w:rPr>
              <w:t>28</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28" w:history="1">
            <w:r w:rsidR="00EE7266" w:rsidRPr="002334A1">
              <w:rPr>
                <w:rStyle w:val="Lienhypertexte"/>
                <w:noProof/>
              </w:rPr>
              <w:t>IV.2.C Statistiques</w:t>
            </w:r>
            <w:r w:rsidR="00EE7266">
              <w:rPr>
                <w:noProof/>
                <w:webHidden/>
              </w:rPr>
              <w:tab/>
            </w:r>
            <w:r w:rsidR="00EE7266">
              <w:rPr>
                <w:noProof/>
                <w:webHidden/>
              </w:rPr>
              <w:fldChar w:fldCharType="begin"/>
            </w:r>
            <w:r w:rsidR="00EE7266">
              <w:rPr>
                <w:noProof/>
                <w:webHidden/>
              </w:rPr>
              <w:instrText xml:space="preserve"> PAGEREF _Toc520022728 \h </w:instrText>
            </w:r>
            <w:r w:rsidR="00EE7266">
              <w:rPr>
                <w:noProof/>
                <w:webHidden/>
              </w:rPr>
            </w:r>
            <w:r w:rsidR="00EE7266">
              <w:rPr>
                <w:noProof/>
                <w:webHidden/>
              </w:rPr>
              <w:fldChar w:fldCharType="separate"/>
            </w:r>
            <w:r w:rsidR="00EE7266">
              <w:rPr>
                <w:noProof/>
                <w:webHidden/>
              </w:rPr>
              <w:t>28</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729" w:history="1">
            <w:r w:rsidR="00EE7266" w:rsidRPr="002334A1">
              <w:rPr>
                <w:rStyle w:val="Lienhypertexte"/>
                <w:noProof/>
              </w:rPr>
              <w:t>V. Étude de structures particulières</w:t>
            </w:r>
            <w:r w:rsidR="00EE7266">
              <w:rPr>
                <w:noProof/>
                <w:webHidden/>
              </w:rPr>
              <w:tab/>
            </w:r>
            <w:r w:rsidR="00EE7266">
              <w:rPr>
                <w:noProof/>
                <w:webHidden/>
              </w:rPr>
              <w:fldChar w:fldCharType="begin"/>
            </w:r>
            <w:r w:rsidR="00EE7266">
              <w:rPr>
                <w:noProof/>
                <w:webHidden/>
              </w:rPr>
              <w:instrText xml:space="preserve"> PAGEREF _Toc520022729 \h </w:instrText>
            </w:r>
            <w:r w:rsidR="00EE7266">
              <w:rPr>
                <w:noProof/>
                <w:webHidden/>
              </w:rPr>
            </w:r>
            <w:r w:rsidR="00EE7266">
              <w:rPr>
                <w:noProof/>
                <w:webHidden/>
              </w:rPr>
              <w:fldChar w:fldCharType="separate"/>
            </w:r>
            <w:r w:rsidR="00EE7266">
              <w:rPr>
                <w:noProof/>
                <w:webHidden/>
              </w:rPr>
              <w:t>29</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730" w:history="1">
            <w:r w:rsidR="00EE7266" w:rsidRPr="002334A1">
              <w:rPr>
                <w:rStyle w:val="Lienhypertexte"/>
                <w:noProof/>
              </w:rPr>
              <w:t>VI. Résultats et discussions</w:t>
            </w:r>
            <w:r w:rsidR="00EE7266">
              <w:rPr>
                <w:noProof/>
                <w:webHidden/>
              </w:rPr>
              <w:tab/>
            </w:r>
            <w:r w:rsidR="00EE7266">
              <w:rPr>
                <w:noProof/>
                <w:webHidden/>
              </w:rPr>
              <w:fldChar w:fldCharType="begin"/>
            </w:r>
            <w:r w:rsidR="00EE7266">
              <w:rPr>
                <w:noProof/>
                <w:webHidden/>
              </w:rPr>
              <w:instrText xml:space="preserve"> PAGEREF _Toc520022730 \h </w:instrText>
            </w:r>
            <w:r w:rsidR="00EE7266">
              <w:rPr>
                <w:noProof/>
                <w:webHidden/>
              </w:rPr>
            </w:r>
            <w:r w:rsidR="00EE7266">
              <w:rPr>
                <w:noProof/>
                <w:webHidden/>
              </w:rPr>
              <w:fldChar w:fldCharType="separate"/>
            </w:r>
            <w:r w:rsidR="00EE7266">
              <w:rPr>
                <w:noProof/>
                <w:webHidden/>
              </w:rPr>
              <w:t>29</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31" w:history="1">
            <w:r w:rsidR="00EE7266" w:rsidRPr="002334A1">
              <w:rPr>
                <w:rStyle w:val="Lienhypertexte"/>
                <w:noProof/>
              </w:rPr>
              <w:t>VI.1 Résultats</w:t>
            </w:r>
            <w:r w:rsidR="00EE7266">
              <w:rPr>
                <w:noProof/>
                <w:webHidden/>
              </w:rPr>
              <w:tab/>
            </w:r>
            <w:r w:rsidR="00EE7266">
              <w:rPr>
                <w:noProof/>
                <w:webHidden/>
              </w:rPr>
              <w:fldChar w:fldCharType="begin"/>
            </w:r>
            <w:r w:rsidR="00EE7266">
              <w:rPr>
                <w:noProof/>
                <w:webHidden/>
              </w:rPr>
              <w:instrText xml:space="preserve"> PAGEREF _Toc520022731 \h </w:instrText>
            </w:r>
            <w:r w:rsidR="00EE7266">
              <w:rPr>
                <w:noProof/>
                <w:webHidden/>
              </w:rPr>
            </w:r>
            <w:r w:rsidR="00EE7266">
              <w:rPr>
                <w:noProof/>
                <w:webHidden/>
              </w:rPr>
              <w:fldChar w:fldCharType="separate"/>
            </w:r>
            <w:r w:rsidR="00EE7266">
              <w:rPr>
                <w:noProof/>
                <w:webHidden/>
              </w:rPr>
              <w:t>29</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32" w:history="1">
            <w:r w:rsidR="00EE7266" w:rsidRPr="002334A1">
              <w:rPr>
                <w:rStyle w:val="Lienhypertexte"/>
                <w:noProof/>
              </w:rPr>
              <w:t>VI.2 Discussions</w:t>
            </w:r>
            <w:r w:rsidR="00EE7266">
              <w:rPr>
                <w:noProof/>
                <w:webHidden/>
              </w:rPr>
              <w:tab/>
            </w:r>
            <w:r w:rsidR="00EE7266">
              <w:rPr>
                <w:noProof/>
                <w:webHidden/>
              </w:rPr>
              <w:fldChar w:fldCharType="begin"/>
            </w:r>
            <w:r w:rsidR="00EE7266">
              <w:rPr>
                <w:noProof/>
                <w:webHidden/>
              </w:rPr>
              <w:instrText xml:space="preserve"> PAGEREF _Toc520022732 \h </w:instrText>
            </w:r>
            <w:r w:rsidR="00EE7266">
              <w:rPr>
                <w:noProof/>
                <w:webHidden/>
              </w:rPr>
            </w:r>
            <w:r w:rsidR="00EE7266">
              <w:rPr>
                <w:noProof/>
                <w:webHidden/>
              </w:rPr>
              <w:fldChar w:fldCharType="separate"/>
            </w:r>
            <w:r w:rsidR="00EE7266">
              <w:rPr>
                <w:noProof/>
                <w:webHidden/>
              </w:rPr>
              <w:t>29</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733" w:history="1">
            <w:r w:rsidR="00EE7266" w:rsidRPr="002334A1">
              <w:rPr>
                <w:rStyle w:val="Lienhypertexte"/>
                <w:noProof/>
              </w:rPr>
              <w:t>Conclusion</w:t>
            </w:r>
            <w:r w:rsidR="00EE7266">
              <w:rPr>
                <w:noProof/>
                <w:webHidden/>
              </w:rPr>
              <w:tab/>
            </w:r>
            <w:r w:rsidR="00EE7266">
              <w:rPr>
                <w:noProof/>
                <w:webHidden/>
              </w:rPr>
              <w:fldChar w:fldCharType="begin"/>
            </w:r>
            <w:r w:rsidR="00EE7266">
              <w:rPr>
                <w:noProof/>
                <w:webHidden/>
              </w:rPr>
              <w:instrText xml:space="preserve"> PAGEREF _Toc520022733 \h </w:instrText>
            </w:r>
            <w:r w:rsidR="00EE7266">
              <w:rPr>
                <w:noProof/>
                <w:webHidden/>
              </w:rPr>
            </w:r>
            <w:r w:rsidR="00EE7266">
              <w:rPr>
                <w:noProof/>
                <w:webHidden/>
              </w:rPr>
              <w:fldChar w:fldCharType="separate"/>
            </w:r>
            <w:r w:rsidR="00EE7266">
              <w:rPr>
                <w:noProof/>
                <w:webHidden/>
              </w:rPr>
              <w:t>30</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734" w:history="1">
            <w:r w:rsidR="00EE7266" w:rsidRPr="002334A1">
              <w:rPr>
                <w:rStyle w:val="Lienhypertexte"/>
                <w:noProof/>
              </w:rPr>
              <w:t>Bibliographie</w:t>
            </w:r>
            <w:r w:rsidR="00EE7266">
              <w:rPr>
                <w:noProof/>
                <w:webHidden/>
              </w:rPr>
              <w:tab/>
            </w:r>
            <w:r w:rsidR="00EE7266">
              <w:rPr>
                <w:noProof/>
                <w:webHidden/>
              </w:rPr>
              <w:fldChar w:fldCharType="begin"/>
            </w:r>
            <w:r w:rsidR="00EE7266">
              <w:rPr>
                <w:noProof/>
                <w:webHidden/>
              </w:rPr>
              <w:instrText xml:space="preserve"> PAGEREF _Toc520022734 \h </w:instrText>
            </w:r>
            <w:r w:rsidR="00EE7266">
              <w:rPr>
                <w:noProof/>
                <w:webHidden/>
              </w:rPr>
            </w:r>
            <w:r w:rsidR="00EE7266">
              <w:rPr>
                <w:noProof/>
                <w:webHidden/>
              </w:rPr>
              <w:fldChar w:fldCharType="separate"/>
            </w:r>
            <w:r w:rsidR="00EE7266">
              <w:rPr>
                <w:noProof/>
                <w:webHidden/>
              </w:rPr>
              <w:t>31</w:t>
            </w:r>
            <w:r w:rsidR="00EE7266">
              <w:rPr>
                <w:noProof/>
                <w:webHidden/>
              </w:rPr>
              <w:fldChar w:fldCharType="end"/>
            </w:r>
          </w:hyperlink>
        </w:p>
        <w:p w:rsidR="00EE7266" w:rsidRDefault="003D6DF1">
          <w:pPr>
            <w:pStyle w:val="TM1"/>
            <w:tabs>
              <w:tab w:val="right" w:leader="dot" w:pos="9062"/>
            </w:tabs>
            <w:rPr>
              <w:rFonts w:eastAsiaTheme="minorEastAsia"/>
              <w:noProof/>
              <w:lang w:eastAsia="fr-FR"/>
            </w:rPr>
          </w:pPr>
          <w:hyperlink w:anchor="_Toc520022735" w:history="1">
            <w:r w:rsidR="00EE7266" w:rsidRPr="002334A1">
              <w:rPr>
                <w:rStyle w:val="Lienhypertexte"/>
                <w:noProof/>
              </w:rPr>
              <w:t>Annexes</w:t>
            </w:r>
            <w:r w:rsidR="00EE7266">
              <w:rPr>
                <w:noProof/>
                <w:webHidden/>
              </w:rPr>
              <w:tab/>
            </w:r>
            <w:r w:rsidR="00EE7266">
              <w:rPr>
                <w:noProof/>
                <w:webHidden/>
              </w:rPr>
              <w:fldChar w:fldCharType="begin"/>
            </w:r>
            <w:r w:rsidR="00EE7266">
              <w:rPr>
                <w:noProof/>
                <w:webHidden/>
              </w:rPr>
              <w:instrText xml:space="preserve"> PAGEREF _Toc520022735 \h </w:instrText>
            </w:r>
            <w:r w:rsidR="00EE7266">
              <w:rPr>
                <w:noProof/>
                <w:webHidden/>
              </w:rPr>
            </w:r>
            <w:r w:rsidR="00EE7266">
              <w:rPr>
                <w:noProof/>
                <w:webHidden/>
              </w:rPr>
              <w:fldChar w:fldCharType="separate"/>
            </w:r>
            <w:r w:rsidR="00EE7266">
              <w:rPr>
                <w:noProof/>
                <w:webHidden/>
              </w:rPr>
              <w:t>33</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36" w:history="1">
            <w:r w:rsidR="00EE7266" w:rsidRPr="002334A1">
              <w:rPr>
                <w:rStyle w:val="Lienhypertexte"/>
                <w:noProof/>
              </w:rPr>
              <w:t>A1. Requêtes Apache Solr sur HAL</w:t>
            </w:r>
            <w:r w:rsidR="00EE7266">
              <w:rPr>
                <w:noProof/>
                <w:webHidden/>
              </w:rPr>
              <w:tab/>
            </w:r>
            <w:r w:rsidR="00EE7266">
              <w:rPr>
                <w:noProof/>
                <w:webHidden/>
              </w:rPr>
              <w:fldChar w:fldCharType="begin"/>
            </w:r>
            <w:r w:rsidR="00EE7266">
              <w:rPr>
                <w:noProof/>
                <w:webHidden/>
              </w:rPr>
              <w:instrText xml:space="preserve"> PAGEREF _Toc520022736 \h </w:instrText>
            </w:r>
            <w:r w:rsidR="00EE7266">
              <w:rPr>
                <w:noProof/>
                <w:webHidden/>
              </w:rPr>
            </w:r>
            <w:r w:rsidR="00EE7266">
              <w:rPr>
                <w:noProof/>
                <w:webHidden/>
              </w:rPr>
              <w:fldChar w:fldCharType="separate"/>
            </w:r>
            <w:r w:rsidR="00EE7266">
              <w:rPr>
                <w:noProof/>
                <w:webHidden/>
              </w:rPr>
              <w:t>33</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37" w:history="1">
            <w:r w:rsidR="00EE7266" w:rsidRPr="002334A1">
              <w:rPr>
                <w:rStyle w:val="Lienhypertexte"/>
                <w:noProof/>
              </w:rPr>
              <w:t>A1.A Requêtes</w:t>
            </w:r>
            <w:r w:rsidR="00EE7266">
              <w:rPr>
                <w:noProof/>
                <w:webHidden/>
              </w:rPr>
              <w:tab/>
            </w:r>
            <w:r w:rsidR="00EE7266">
              <w:rPr>
                <w:noProof/>
                <w:webHidden/>
              </w:rPr>
              <w:fldChar w:fldCharType="begin"/>
            </w:r>
            <w:r w:rsidR="00EE7266">
              <w:rPr>
                <w:noProof/>
                <w:webHidden/>
              </w:rPr>
              <w:instrText xml:space="preserve"> PAGEREF _Toc520022737 \h </w:instrText>
            </w:r>
            <w:r w:rsidR="00EE7266">
              <w:rPr>
                <w:noProof/>
                <w:webHidden/>
              </w:rPr>
            </w:r>
            <w:r w:rsidR="00EE7266">
              <w:rPr>
                <w:noProof/>
                <w:webHidden/>
              </w:rPr>
              <w:fldChar w:fldCharType="separate"/>
            </w:r>
            <w:r w:rsidR="00EE7266">
              <w:rPr>
                <w:noProof/>
                <w:webHidden/>
              </w:rPr>
              <w:t>33</w:t>
            </w:r>
            <w:r w:rsidR="00EE7266">
              <w:rPr>
                <w:noProof/>
                <w:webHidden/>
              </w:rPr>
              <w:fldChar w:fldCharType="end"/>
            </w:r>
          </w:hyperlink>
        </w:p>
        <w:p w:rsidR="00EE7266" w:rsidRDefault="003D6DF1">
          <w:pPr>
            <w:pStyle w:val="TM3"/>
            <w:tabs>
              <w:tab w:val="right" w:leader="dot" w:pos="9062"/>
            </w:tabs>
            <w:rPr>
              <w:rFonts w:eastAsiaTheme="minorEastAsia"/>
              <w:noProof/>
              <w:lang w:eastAsia="fr-FR"/>
            </w:rPr>
          </w:pPr>
          <w:hyperlink w:anchor="_Toc520022738" w:history="1">
            <w:r w:rsidR="00EE7266" w:rsidRPr="002334A1">
              <w:rPr>
                <w:rStyle w:val="Lienhypertexte"/>
                <w:rFonts w:eastAsia="Times New Roman"/>
                <w:noProof/>
              </w:rPr>
              <w:t>A1.B Résultats</w:t>
            </w:r>
            <w:r w:rsidR="00EE7266">
              <w:rPr>
                <w:noProof/>
                <w:webHidden/>
              </w:rPr>
              <w:tab/>
            </w:r>
            <w:r w:rsidR="00EE7266">
              <w:rPr>
                <w:noProof/>
                <w:webHidden/>
              </w:rPr>
              <w:fldChar w:fldCharType="begin"/>
            </w:r>
            <w:r w:rsidR="00EE7266">
              <w:rPr>
                <w:noProof/>
                <w:webHidden/>
              </w:rPr>
              <w:instrText xml:space="preserve"> PAGEREF _Toc520022738 \h </w:instrText>
            </w:r>
            <w:r w:rsidR="00EE7266">
              <w:rPr>
                <w:noProof/>
                <w:webHidden/>
              </w:rPr>
            </w:r>
            <w:r w:rsidR="00EE7266">
              <w:rPr>
                <w:noProof/>
                <w:webHidden/>
              </w:rPr>
              <w:fldChar w:fldCharType="separate"/>
            </w:r>
            <w:r w:rsidR="00EE7266">
              <w:rPr>
                <w:noProof/>
                <w:webHidden/>
              </w:rPr>
              <w:t>33</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39" w:history="1">
            <w:r w:rsidR="00EE7266" w:rsidRPr="002334A1">
              <w:rPr>
                <w:rStyle w:val="Lienhypertexte"/>
                <w:noProof/>
              </w:rPr>
              <w:t>AX. Index des logiciels et technologies mentionnés</w:t>
            </w:r>
            <w:r w:rsidR="00EE7266">
              <w:rPr>
                <w:noProof/>
                <w:webHidden/>
              </w:rPr>
              <w:tab/>
            </w:r>
            <w:r w:rsidR="00EE7266">
              <w:rPr>
                <w:noProof/>
                <w:webHidden/>
              </w:rPr>
              <w:fldChar w:fldCharType="begin"/>
            </w:r>
            <w:r w:rsidR="00EE7266">
              <w:rPr>
                <w:noProof/>
                <w:webHidden/>
              </w:rPr>
              <w:instrText xml:space="preserve"> PAGEREF _Toc520022739 \h </w:instrText>
            </w:r>
            <w:r w:rsidR="00EE7266">
              <w:rPr>
                <w:noProof/>
                <w:webHidden/>
              </w:rPr>
            </w:r>
            <w:r w:rsidR="00EE7266">
              <w:rPr>
                <w:noProof/>
                <w:webHidden/>
              </w:rPr>
              <w:fldChar w:fldCharType="separate"/>
            </w:r>
            <w:r w:rsidR="00EE7266">
              <w:rPr>
                <w:noProof/>
                <w:webHidden/>
              </w:rPr>
              <w:t>34</w:t>
            </w:r>
            <w:r w:rsidR="00EE7266">
              <w:rPr>
                <w:noProof/>
                <w:webHidden/>
              </w:rPr>
              <w:fldChar w:fldCharType="end"/>
            </w:r>
          </w:hyperlink>
        </w:p>
        <w:p w:rsidR="00EE7266" w:rsidRDefault="003D6DF1">
          <w:pPr>
            <w:pStyle w:val="TM2"/>
            <w:tabs>
              <w:tab w:val="right" w:leader="dot" w:pos="9062"/>
            </w:tabs>
            <w:rPr>
              <w:rFonts w:eastAsiaTheme="minorEastAsia"/>
              <w:noProof/>
              <w:lang w:eastAsia="fr-FR"/>
            </w:rPr>
          </w:pPr>
          <w:hyperlink w:anchor="_Toc520022740" w:history="1">
            <w:r w:rsidR="00EE7266" w:rsidRPr="002334A1">
              <w:rPr>
                <w:rStyle w:val="Lienhypertexte"/>
                <w:noProof/>
              </w:rPr>
              <w:t>AY. Codes des étiquettes de catégorie de discours de Talismane</w:t>
            </w:r>
            <w:r w:rsidR="00EE7266">
              <w:rPr>
                <w:noProof/>
                <w:webHidden/>
              </w:rPr>
              <w:tab/>
            </w:r>
            <w:r w:rsidR="00EE7266">
              <w:rPr>
                <w:noProof/>
                <w:webHidden/>
              </w:rPr>
              <w:fldChar w:fldCharType="begin"/>
            </w:r>
            <w:r w:rsidR="00EE7266">
              <w:rPr>
                <w:noProof/>
                <w:webHidden/>
              </w:rPr>
              <w:instrText xml:space="preserve"> PAGEREF _Toc520022740 \h </w:instrText>
            </w:r>
            <w:r w:rsidR="00EE7266">
              <w:rPr>
                <w:noProof/>
                <w:webHidden/>
              </w:rPr>
            </w:r>
            <w:r w:rsidR="00EE7266">
              <w:rPr>
                <w:noProof/>
                <w:webHidden/>
              </w:rPr>
              <w:fldChar w:fldCharType="separate"/>
            </w:r>
            <w:r w:rsidR="00EE7266">
              <w:rPr>
                <w:noProof/>
                <w:webHidden/>
              </w:rPr>
              <w:t>35</w:t>
            </w:r>
            <w:r w:rsidR="00EE7266">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20022697"/>
      <w:r>
        <w:lastRenderedPageBreak/>
        <w:t>Introduction</w:t>
      </w:r>
      <w:bookmarkEnd w:id="1"/>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2" w:name="_Toc520022698"/>
      <w:r>
        <w:lastRenderedPageBreak/>
        <w:t xml:space="preserve">I. </w:t>
      </w:r>
      <w:r w:rsidR="00812473">
        <w:t>Précédentes études sur l</w:t>
      </w:r>
      <w:r>
        <w:t>es titres scientifiques</w:t>
      </w:r>
      <w:bookmarkEnd w:id="2"/>
    </w:p>
    <w:p w:rsidR="00B14C70" w:rsidRDefault="00B14C70" w:rsidP="00FA3A41">
      <w:pPr>
        <w:pStyle w:val="Titre2"/>
      </w:pPr>
      <w:bookmarkStart w:id="3" w:name="_Toc520022699"/>
      <w:r>
        <w:t xml:space="preserve">I.1 Le titre </w:t>
      </w:r>
      <w:r w:rsidR="00874F81">
        <w:t xml:space="preserve">et </w:t>
      </w:r>
      <w:r w:rsidR="00D95FDD">
        <w:t>ses problématiques</w:t>
      </w:r>
      <w:bookmarkEnd w:id="3"/>
    </w:p>
    <w:p w:rsidR="008322CA" w:rsidRPr="008322CA" w:rsidRDefault="00335373" w:rsidP="00874F81">
      <w:r>
        <w:tab/>
      </w:r>
      <w:sdt>
        <w:sdtPr>
          <w:id w:val="25307600"/>
          <w:citation/>
        </w:sdtPr>
        <w:sdtEndPr/>
        <w:sdtContent>
          <w:r>
            <w:fldChar w:fldCharType="begin"/>
          </w:r>
          <w:r>
            <w:instrText xml:space="preserve"> CITATION Har03 \l 1036 </w:instrText>
          </w:r>
          <w:r>
            <w:fldChar w:fldCharType="separate"/>
          </w:r>
          <w:r>
            <w:rPr>
              <w:noProof/>
            </w:rPr>
            <w:t>(Hartley, 2003)</w:t>
          </w:r>
          <w:r>
            <w:fldChar w:fldCharType="end"/>
          </w:r>
        </w:sdtContent>
      </w:sdt>
      <w:r>
        <w:t xml:space="preserve"> détaille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End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End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r w:rsidR="003B364E">
        <w:t xml:space="preserve"> Dernier facteur d’importance du titre</w:t>
      </w:r>
      <w:r w:rsidR="00512B78">
        <w:t xml:space="preserve"> et de la fonction informative :</w:t>
      </w:r>
      <w:r w:rsidR="003B364E">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End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8B5B96">
        <w:t xml:space="preserve"> et </w:t>
      </w:r>
      <w:sdt>
        <w:sdtPr>
          <w:id w:val="1135610359"/>
          <w:citation/>
        </w:sdtPr>
        <w:sdtEnd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512B78">
        <w:t>.</w:t>
      </w:r>
      <w:r w:rsidR="005E350A">
        <w:t xml:space="preserve"> Toujours selon ces mêmes auteurs, le titre est également critique en amont, car c’est le premier élément que rencontre l’éditeur et les pairs qui décideront de sa publication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4" w:name="_Toc520022700"/>
      <w:r>
        <w:t xml:space="preserve">I.2 </w:t>
      </w:r>
      <w:r w:rsidR="007C22BD">
        <w:t>Traits étudiés des titres</w:t>
      </w:r>
      <w:bookmarkEnd w:id="4"/>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t>Le premier trait est la longueur d’un titre</w:t>
      </w:r>
      <w:r w:rsidR="005622BF">
        <w:t xml:space="preserve"> en mots</w:t>
      </w:r>
      <w:r w:rsidR="004153F8">
        <w:t>, c’est le plus étudié</w:t>
      </w:r>
      <w:r w:rsidR="00204902">
        <w:t xml:space="preserve">, notamment par </w:t>
      </w:r>
      <w:sdt>
        <w:sdtPr>
          <w:id w:val="-539362014"/>
          <w:citation/>
        </w:sdtPr>
        <w:sdtEnd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End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End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End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End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387734077"/>
          <w:citation/>
        </w:sdtPr>
        <w:sdtEndPr/>
        <w:sdtContent>
          <w:r>
            <w:fldChar w:fldCharType="begin"/>
          </w:r>
          <w:r>
            <w:instrText xml:space="preserve"> CITATION Nag151 \l 1036 </w:instrText>
          </w:r>
          <w:r>
            <w:fldChar w:fldCharType="separate"/>
          </w:r>
          <w:r>
            <w:rPr>
              <w:noProof/>
            </w:rPr>
            <w:t xml:space="preserve">(Nagano R. L., </w:t>
          </w:r>
          <w:r>
            <w:rPr>
              <w:noProof/>
            </w:rPr>
            <w:lastRenderedPageBreak/>
            <w:t>2015)</w:t>
          </w:r>
          <w:r>
            <w:fldChar w:fldCharType="end"/>
          </w:r>
        </w:sdtContent>
      </w:sdt>
      <w:r>
        <w:t xml:space="preserve"> comptent </w:t>
      </w:r>
      <w:r w:rsidR="005622BF">
        <w:t>les mots mais ajoute un taux de</w:t>
      </w:r>
      <w:r>
        <w:t xml:space="preserve"> substantifs.</w:t>
      </w:r>
      <w:r w:rsidR="005622BF">
        <w:t xml:space="preserve"> Pour le citer, « ce taux est souvent considéré comme un indicateur pour déterminer combien ce titre est informatif ».</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End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comme </w:t>
      </w:r>
      <w:sdt>
        <w:sdtPr>
          <w:id w:val="298110100"/>
          <w:citation/>
        </w:sdtPr>
        <w:sdtEndPr/>
        <w:sdtContent>
          <w:r w:rsidR="003B364E">
            <w:fldChar w:fldCharType="begin"/>
          </w:r>
          <w:r w:rsidR="003B364E">
            <w:instrText xml:space="preserve"> CITATION Nag15 \l 1036 </w:instrText>
          </w:r>
          <w:r w:rsidR="003B364E">
            <w:fldChar w:fldCharType="separate"/>
          </w:r>
          <w:r w:rsidR="003B364E">
            <w:rPr>
              <w:noProof/>
            </w:rPr>
            <w:t>(Nagano R. L., 2015)</w:t>
          </w:r>
          <w:r w:rsidR="003B364E">
            <w:fldChar w:fldCharType="end"/>
          </w:r>
        </w:sdtContent>
      </w:sdt>
      <w:r w:rsidR="003B364E">
        <w:t xml:space="preserve"> décide de traiter les partitions séparément et ramènent celles-ci à une dualité titre /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End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End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End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End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garantie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End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End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End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ici. </w:t>
      </w:r>
      <w:proofErr w:type="spellStart"/>
      <w:r w:rsidR="000F7F79">
        <w:t>Leech</w:t>
      </w:r>
      <w:proofErr w:type="spellEnd"/>
      <w:r w:rsidR="000F7F79">
        <w:t xml:space="preserve">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End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FD271F">
      <w:pPr>
        <w:ind w:firstLine="360"/>
      </w:pPr>
      <w:r>
        <w:t xml:space="preserve">Certains traits sont corrélés : ainsi </w:t>
      </w:r>
      <w:sdt>
        <w:sdtPr>
          <w:id w:val="-1920626417"/>
          <w:citation/>
        </w:sdtPr>
        <w:sdtEnd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End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End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plus longs.</w:t>
      </w:r>
    </w:p>
    <w:p w:rsidR="009734F3" w:rsidRDefault="00FD271F" w:rsidP="00FD271F">
      <w:pPr>
        <w:ind w:firstLine="360"/>
      </w:pPr>
      <w:r>
        <w:t>Ces traits touchent aussi bien à la syntaxe qu’à les présences de certains éléments comme les marquent de ponctuation ou les acronymes.</w:t>
      </w:r>
      <w:r w:rsidR="00B45078">
        <w:t xml:space="preserve"> </w:t>
      </w:r>
      <w:sdt>
        <w:sdtPr>
          <w:id w:val="-1255275235"/>
          <w:citation/>
        </w:sdtPr>
        <w:sdtEnd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 ou le sujet et sa conclusion.</w:t>
      </w:r>
      <w:r w:rsidR="003D12FE">
        <w:t xml:space="preserve"> </w:t>
      </w:r>
      <w:sdt>
        <w:sdtPr>
          <w:id w:val="-1041353093"/>
          <w:citation/>
        </w:sdtPr>
        <w:sdtEndPr/>
        <w:sdtContent>
          <w:r w:rsidR="003D12FE">
            <w:fldChar w:fldCharType="begin"/>
          </w:r>
          <w:r w:rsidR="003D12FE">
            <w:instrText xml:space="preserve"> CITATION Reb09 \l 1036 </w:instrText>
          </w:r>
          <w:r w:rsidR="003D12FE">
            <w:fldChar w:fldCharType="separate"/>
          </w:r>
          <w:r w:rsidR="003D12FE">
            <w:rPr>
              <w:noProof/>
            </w:rPr>
            <w:t>(Rebeyrolle, Jacques, &amp; Péry-Woodley, 2009)</w:t>
          </w:r>
          <w:r w:rsidR="003D12FE">
            <w:fldChar w:fldCharType="end"/>
          </w:r>
        </w:sdtContent>
      </w:sdt>
      <w:r w:rsidR="003D12FE">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t xml:space="preserve"> </w:t>
      </w:r>
      <w:r w:rsidR="003D12FE">
        <w:t xml:space="preserve">Les traits </w:t>
      </w:r>
      <w:r>
        <w:t>sont ensuite mis en rapport avec les caractéristiques des documents titrés.</w:t>
      </w:r>
    </w:p>
    <w:p w:rsidR="00FD271F" w:rsidRDefault="00FD271F" w:rsidP="00FD271F">
      <w:pPr>
        <w:pStyle w:val="Titre2"/>
      </w:pPr>
      <w:bookmarkStart w:id="5" w:name="_Toc520022701"/>
      <w:r>
        <w:lastRenderedPageBreak/>
        <w:t>I.3 Caractéristiques des documents</w:t>
      </w:r>
      <w:bookmarkEnd w:id="5"/>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End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End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End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End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2140060059"/>
          <w:citation/>
        </w:sdtPr>
        <w:sdtEnd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End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End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End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End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p>
    <w:p w:rsidR="00BE69DB" w:rsidRDefault="008F41E4" w:rsidP="00BE69DB">
      <w:pPr>
        <w:pStyle w:val="Paragraphedeliste"/>
        <w:numPr>
          <w:ilvl w:val="0"/>
          <w:numId w:val="16"/>
        </w:numPr>
      </w:pPr>
      <w:r>
        <w:t xml:space="preserve">La sixième caractéristique est le nombre de citations. Certaines plates-formes électroniques comptabilisent combien de fois l’article a été cité. </w:t>
      </w:r>
      <w:sdt>
        <w:sdtPr>
          <w:id w:val="-336228420"/>
          <w:citation/>
        </w:sdtPr>
        <w:sdtEnd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4153F8" w:rsidRDefault="004153F8" w:rsidP="004153F8">
      <w:pPr>
        <w:ind w:left="360"/>
      </w:pPr>
      <w:r>
        <w:t>Tous les articles décrivent les corpus utilisés pour répondre à leurs problématiques.</w:t>
      </w:r>
    </w:p>
    <w:p w:rsidR="004153F8" w:rsidRDefault="004153F8" w:rsidP="004153F8">
      <w:pPr>
        <w:pStyle w:val="Titre2"/>
      </w:pPr>
      <w:bookmarkStart w:id="6" w:name="_Toc520022703"/>
      <w:r>
        <w:t>I.4 Corpus utilisés</w:t>
      </w:r>
      <w:bookmarkEnd w:id="6"/>
    </w:p>
    <w:p w:rsidR="004153F8" w:rsidRDefault="004153F8" w:rsidP="004153F8">
      <w:r>
        <w:tab/>
        <w:t xml:space="preserve">Les articles étudiés, datés de 2004 à 2014, utilisent des corpus inférieurs à 2200 titres, le plus petit de </w:t>
      </w:r>
      <w:sdt>
        <w:sdtPr>
          <w:id w:val="1010500181"/>
          <w:citation/>
        </w:sdtPr>
        <w:sdtEndPr/>
        <w:sdtContent>
          <w:r>
            <w:fldChar w:fldCharType="begin"/>
          </w:r>
          <w:r>
            <w:instrText xml:space="preserve"> CITATION Hag04 \l 1036 </w:instrText>
          </w:r>
          <w:r>
            <w:fldChar w:fldCharType="separate"/>
          </w:r>
          <w:r>
            <w:rPr>
              <w:noProof/>
            </w:rPr>
            <w:t>(Haggan, 2004)</w:t>
          </w:r>
          <w:r>
            <w:fldChar w:fldCharType="end"/>
          </w:r>
        </w:sdtContent>
      </w:sdt>
      <w:r>
        <w:t xml:space="preserve"> démarrant à 751 titres. Seule exception, l’article de </w:t>
      </w:r>
      <w:sdt>
        <w:sdtPr>
          <w:id w:val="1226266181"/>
          <w:citation/>
        </w:sdtPr>
        <w:sdtEnd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celui ne soit pas un cas trop marginal pour être intéressant.</w:t>
      </w:r>
    </w:p>
    <w:p w:rsidR="004153F8" w:rsidRDefault="004153F8" w:rsidP="004153F8">
      <w:r>
        <w:lastRenderedPageBreak/>
        <w:tab/>
        <w:t xml:space="preserve">Les titres sont piochés directement dans des journaux scientifiques renommés, entre 1 seul pour </w:t>
      </w:r>
      <w:sdt>
        <w:sdtPr>
          <w:id w:val="-729914977"/>
          <w:citation/>
        </w:sdtPr>
        <w:sdtEnd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End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End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End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End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End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pour </w:t>
      </w:r>
      <w:sdt>
        <w:sdtPr>
          <w:id w:val="-995887161"/>
          <w:citation/>
        </w:sdtPr>
        <w:sdtEnd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r>
        <w:t xml:space="preserve">I.5 </w:t>
      </w:r>
      <w:r w:rsidR="008B5B96">
        <w:t xml:space="preserve">L’utilisation du </w:t>
      </w:r>
      <w:r>
        <w:t>double point</w:t>
      </w:r>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End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End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 il ajoute des informations sémantiques très importantes à ce qui vient d’être dit.</w:t>
      </w:r>
    </w:p>
    <w:p w:rsidR="000A049C" w:rsidRDefault="003D6DF1" w:rsidP="000A049C">
      <w:pPr>
        <w:ind w:firstLine="708"/>
      </w:pPr>
      <w:sdt>
        <w:sdtPr>
          <w:id w:val="584034064"/>
          <w:citation/>
        </w:sdtPr>
        <w:sdtEnd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End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p>
    <w:p w:rsidR="005C59CA" w:rsidRDefault="003D6DF1" w:rsidP="008B5B96">
      <w:pPr>
        <w:ind w:firstLine="708"/>
      </w:pPr>
      <w:sdt>
        <w:sdtPr>
          <w:id w:val="1254780966"/>
          <w:citation/>
        </w:sdtPr>
        <w:sdtEnd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w:t>
      </w:r>
      <w:r w:rsidR="008B5B96">
        <w:lastRenderedPageBreak/>
        <w:t>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End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End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7" w:name="_Toc520022705"/>
      <w:r>
        <w:t>II. Corpus de travail</w:t>
      </w:r>
      <w:bookmarkEnd w:id="7"/>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8" w:name="_Toc520022706"/>
      <w:r>
        <w:t>II</w:t>
      </w:r>
      <w:r w:rsidR="007448C4">
        <w:t>.1 Présentation de HAL et extraction des données</w:t>
      </w:r>
      <w:bookmarkEnd w:id="8"/>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End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lastRenderedPageBreak/>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End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EndPr/>
        <w:sdtContent>
          <w:r w:rsidR="00496CC4">
            <w:fldChar w:fldCharType="begin"/>
          </w:r>
          <w:r w:rsidR="000F5AC2">
            <w:rPr>
              <w:b/>
            </w:rPr>
            <w:instrText xml:space="preserve">CITATION Bra17 \l 1036 </w:instrText>
          </w:r>
          <w:r w:rsidR="00496CC4">
            <w:fldChar w:fldCharType="separate"/>
          </w:r>
          <w:r w:rsidR="00913C83" w:rsidRPr="00913C8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lastRenderedPageBreak/>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9" w:name="_Toc520022707"/>
      <w:r>
        <w:t>II</w:t>
      </w:r>
      <w:r w:rsidR="007448C4">
        <w:t xml:space="preserve">.2 </w:t>
      </w:r>
      <w:r w:rsidR="00B31E5A">
        <w:t>T</w:t>
      </w:r>
      <w:r w:rsidR="007448C4">
        <w:t>raitement des données</w:t>
      </w:r>
      <w:r w:rsidR="00B31E5A">
        <w:t xml:space="preserve"> et exemples</w:t>
      </w:r>
      <w:bookmarkEnd w:id="9"/>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123170" w:rsidP="00123170">
      <w:pPr>
        <w:pStyle w:val="Titre3"/>
      </w:pPr>
      <w:bookmarkStart w:id="10" w:name="_Toc520022708"/>
      <w:r>
        <w:t>A) Enrichissement des données</w:t>
      </w:r>
      <w:bookmarkEnd w:id="10"/>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w:t>
      </w:r>
      <w:proofErr w:type="spellStart"/>
      <w:r>
        <w:t>Talismane</w:t>
      </w:r>
      <w:proofErr w:type="spellEnd"/>
      <w:r>
        <w:rPr>
          <w:rStyle w:val="Appelnotedebasdep"/>
        </w:rPr>
        <w:footnoteReference w:id="9"/>
      </w:r>
      <w:r>
        <w:t xml:space="preserve"> par Assaf </w:t>
      </w:r>
      <w:proofErr w:type="spellStart"/>
      <w:r w:rsidRPr="004E6AB3">
        <w:t>Urieli</w:t>
      </w:r>
      <w:proofErr w:type="spellEnd"/>
      <w:r>
        <w:t xml:space="preserve"> </w:t>
      </w:r>
      <w:sdt>
        <w:sdtPr>
          <w:id w:val="-1385097011"/>
          <w:citation/>
        </w:sdtPr>
        <w:sdtEnd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Avoir le lemme d’un mot permet de rassembler toutes ses formes fléchies sous une même étiquette et de compter le nombre d’occurrences de celle-ci ensuite. La catégorie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w:t>
      </w:r>
      <w:proofErr w:type="spellStart"/>
      <w:r w:rsidR="00FB65E2">
        <w:t>Talismane</w:t>
      </w:r>
      <w:proofErr w:type="spellEnd"/>
      <w:r w:rsidR="00FB65E2">
        <w:t xml:space="preserv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l’enregistrement de notre corpus, par un traitement rattaché à ceux que nous qualifions de conversions.</w:t>
      </w:r>
    </w:p>
    <w:p w:rsidR="00FB65E2" w:rsidRDefault="00FB65E2" w:rsidP="00FB65E2">
      <w:pPr>
        <w:pStyle w:val="Titre2"/>
      </w:pPr>
      <w:bookmarkStart w:id="11" w:name="_Toc520022709"/>
      <w:r>
        <w:t>B) Conversions</w:t>
      </w:r>
      <w:bookmarkEnd w:id="11"/>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w:t>
      </w:r>
      <w:proofErr w:type="spellStart"/>
      <w:r w:rsidR="00483774">
        <w:t>Talismane</w:t>
      </w:r>
      <w:proofErr w:type="spellEnd"/>
      <w:r w:rsidR="00483774">
        <w:t xml:space="preserv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 xml:space="preserve">-U n’utilise pas XML mais un format texte utilisant les lignes et les tabulations pour traduire la structure des données. Nous souhaitions </w:t>
      </w:r>
      <w:r w:rsidR="00D46DBC">
        <w:lastRenderedPageBreak/>
        <w:t>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lastRenderedPageBreak/>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 xml:space="preserve">Le titre en lui-même est présent sous une forme complète et une forme décomposée en mots, avec pour chaque mot la forme fléchie présente dans le texte, son lemme et son étiquette POS. Lorsque </w:t>
      </w:r>
      <w:proofErr w:type="spellStart"/>
      <w:r>
        <w:t>Talismane</w:t>
      </w:r>
      <w:proofErr w:type="spellEnd"/>
      <w:r>
        <w:t xml:space="preserv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2" w:name="_Toc520022710"/>
      <w:r>
        <w:t>C) Filtrage</w:t>
      </w:r>
      <w:bookmarkEnd w:id="12"/>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w:t>
      </w:r>
      <w:r>
        <w:lastRenderedPageBreak/>
        <w:t xml:space="preserve">titres,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r w:rsidR="009717DF">
        <w:rPr>
          <w:noProof/>
        </w:rPr>
        <w:fldChar w:fldCharType="begin"/>
      </w:r>
      <w:r w:rsidR="009717DF">
        <w:rPr>
          <w:noProof/>
        </w:rPr>
        <w:instrText xml:space="preserve"> SEQ Tableau \* ARABIC </w:instrText>
      </w:r>
      <w:r w:rsidR="009717DF">
        <w:rPr>
          <w:noProof/>
        </w:rPr>
        <w:fldChar w:fldCharType="separate"/>
      </w:r>
      <w:r w:rsidR="001E1032">
        <w:rPr>
          <w:noProof/>
        </w:rPr>
        <w:t>1</w:t>
      </w:r>
      <w:r w:rsidR="009717DF">
        <w:rPr>
          <w:noProof/>
        </w:rPr>
        <w:fldChar w:fldCharType="end"/>
      </w:r>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lastRenderedPageBreak/>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3" w:name="OLE_LINK1"/>
      <w:r w:rsidR="008706B7" w:rsidRPr="008706B7">
        <w:rPr>
          <w:b/>
        </w:rPr>
        <w:t>8</w:t>
      </w:r>
      <w:r w:rsidR="00352433">
        <w:rPr>
          <w:b/>
        </w:rPr>
        <w:t>5</w:t>
      </w:r>
      <w:r w:rsidR="008706B7" w:rsidRPr="008706B7">
        <w:rPr>
          <w:b/>
        </w:rPr>
        <w:t> </w:t>
      </w:r>
      <w:r w:rsidR="00352433">
        <w:rPr>
          <w:b/>
        </w:rPr>
        <w:t>531</w:t>
      </w:r>
      <w:r w:rsidR="008706B7">
        <w:t xml:space="preserve"> </w:t>
      </w:r>
      <w:bookmarkEnd w:id="13"/>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4" w:name="_Toc520022711"/>
      <w:r>
        <w:t>II</w:t>
      </w:r>
      <w:r w:rsidR="007448C4">
        <w:t>.</w:t>
      </w:r>
      <w:r w:rsidR="00F556ED">
        <w:t>3</w:t>
      </w:r>
      <w:r w:rsidR="007448C4">
        <w:t xml:space="preserve"> </w:t>
      </w:r>
      <w:r w:rsidR="008D40CF">
        <w:t>Constations</w:t>
      </w:r>
      <w:r w:rsidR="00AE4E4E">
        <w:t xml:space="preserve"> et exemples</w:t>
      </w:r>
      <w:bookmarkEnd w:id="14"/>
    </w:p>
    <w:p w:rsidR="007431AC" w:rsidRDefault="00B43684" w:rsidP="000A1A7E">
      <w:pPr>
        <w:ind w:firstLine="708"/>
      </w:pPr>
      <w:r w:rsidRPr="00B43684">
        <w:t xml:space="preserve">Notons que, comme le souligne Cori et David </w:t>
      </w:r>
      <w:sdt>
        <w:sdtPr>
          <w:id w:val="2065831267"/>
          <w:citation/>
        </w:sdtPr>
        <w:sdtEnd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6058FB" w:rsidRDefault="007F391C" w:rsidP="007F391C">
      <w:pPr>
        <w:pStyle w:val="Titre3"/>
      </w:pPr>
      <w:bookmarkStart w:id="15" w:name="_Toc520022712"/>
      <w:r>
        <w:t>II</w:t>
      </w:r>
      <w:r w:rsidRPr="00F569F7">
        <w:t>.</w:t>
      </w:r>
      <w:r>
        <w:t>3.1</w:t>
      </w:r>
      <w:r w:rsidRPr="00F569F7">
        <w:t xml:space="preserve"> </w:t>
      </w:r>
      <w:r w:rsidR="006058FB">
        <w:t>Caractéristiques de nos corpus</w:t>
      </w:r>
      <w:bookmarkEnd w:id="15"/>
    </w:p>
    <w:p w:rsidR="007F391C" w:rsidRDefault="006058FB" w:rsidP="006058FB">
      <w:pPr>
        <w:pStyle w:val="Titre4"/>
        <w:numPr>
          <w:ilvl w:val="0"/>
          <w:numId w:val="6"/>
        </w:numPr>
      </w:pPr>
      <w:r>
        <w:t>Types de</w:t>
      </w:r>
      <w:r w:rsidR="007F391C" w:rsidRPr="00F569F7">
        <w:t xml:space="preserve"> </w:t>
      </w:r>
      <w:r w:rsidR="007F391C">
        <w:t>documents</w:t>
      </w:r>
    </w:p>
    <w:p w:rsidR="007F391C"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seulement les 7 types </w:t>
      </w:r>
      <w:r w:rsidR="00775158">
        <w:rPr>
          <w:rFonts w:ascii="Calibri" w:eastAsia="SimSun" w:hAnsi="Calibri" w:cs="Times New Roman"/>
        </w:rPr>
        <w:t xml:space="preserve">ayant le plus de titres ce </w:t>
      </w:r>
      <w:r w:rsidR="00935275">
        <w:rPr>
          <w:rFonts w:ascii="Calibri" w:eastAsia="SimSun" w:hAnsi="Calibri" w:cs="Times New Roman"/>
        </w:rPr>
        <w:t>qui représentent 9</w:t>
      </w:r>
      <w:r w:rsidR="00775158">
        <w:rPr>
          <w:rFonts w:ascii="Calibri" w:eastAsia="SimSun" w:hAnsi="Calibri" w:cs="Times New Roman"/>
        </w:rPr>
        <w:t>3</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75158" w:rsidTr="00775158">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w:t>
            </w:r>
          </w:p>
        </w:tc>
      </w:tr>
      <w:tr w:rsidR="00775158" w:rsidTr="00775158">
        <w:trPr>
          <w:jc w:val="center"/>
        </w:trPr>
        <w:tc>
          <w:tcPr>
            <w:tcW w:w="1809" w:type="dxa"/>
            <w:tcBorders>
              <w:top w:val="single" w:sz="4" w:space="0" w:color="4F81BD" w:themeColor="accent1"/>
            </w:tcBorders>
          </w:tcPr>
          <w:p w:rsidR="00775158" w:rsidRDefault="00775158" w:rsidP="007F391C">
            <w:pPr>
              <w:spacing w:after="160" w:line="256" w:lineRule="auto"/>
            </w:pPr>
            <w:r>
              <w:t>Article</w:t>
            </w:r>
          </w:p>
        </w:tc>
        <w:tc>
          <w:tcPr>
            <w:tcW w:w="1246" w:type="dxa"/>
            <w:tcBorders>
              <w:top w:val="single" w:sz="4" w:space="0" w:color="4F81BD" w:themeColor="accent1"/>
            </w:tcBorders>
          </w:tcPr>
          <w:p w:rsidR="00775158" w:rsidRDefault="00775158" w:rsidP="00935275">
            <w:pPr>
              <w:spacing w:after="160" w:line="256" w:lineRule="auto"/>
              <w:jc w:val="right"/>
            </w:pPr>
            <w:r w:rsidRPr="00775158">
              <w:t>25</w:t>
            </w:r>
            <w:r>
              <w:t xml:space="preserve"> </w:t>
            </w:r>
            <w:r w:rsidRPr="00775158">
              <w:t>648</w:t>
            </w:r>
          </w:p>
        </w:tc>
        <w:tc>
          <w:tcPr>
            <w:tcW w:w="1247" w:type="dxa"/>
            <w:tcBorders>
              <w:top w:val="single" w:sz="4" w:space="0" w:color="4F81BD" w:themeColor="accent1"/>
            </w:tcBorders>
          </w:tcPr>
          <w:p w:rsidR="00775158" w:rsidRDefault="00775158" w:rsidP="00775158">
            <w:pPr>
              <w:spacing w:after="160" w:line="256" w:lineRule="auto"/>
              <w:jc w:val="right"/>
            </w:pPr>
            <w:r>
              <w:t>30%</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Communication</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19 966</w:t>
            </w:r>
          </w:p>
        </w:tc>
        <w:tc>
          <w:tcPr>
            <w:tcW w:w="1247" w:type="dxa"/>
            <w:shd w:val="clear" w:color="auto" w:fill="F2F2F2" w:themeFill="background1" w:themeFillShade="F2"/>
          </w:tcPr>
          <w:p w:rsidR="00775158" w:rsidRDefault="00775158" w:rsidP="00775158">
            <w:pPr>
              <w:spacing w:after="160" w:line="256" w:lineRule="auto"/>
              <w:jc w:val="right"/>
            </w:pPr>
            <w:r>
              <w:t>23%</w:t>
            </w:r>
          </w:p>
        </w:tc>
      </w:tr>
      <w:tr w:rsidR="00775158" w:rsidTr="00775158">
        <w:trPr>
          <w:jc w:val="center"/>
        </w:trPr>
        <w:tc>
          <w:tcPr>
            <w:tcW w:w="1809" w:type="dxa"/>
          </w:tcPr>
          <w:p w:rsidR="00775158" w:rsidRDefault="00775158" w:rsidP="007F391C">
            <w:pPr>
              <w:spacing w:after="160" w:line="256" w:lineRule="auto"/>
            </w:pPr>
            <w:r>
              <w:t>Chapitre</w:t>
            </w:r>
          </w:p>
        </w:tc>
        <w:tc>
          <w:tcPr>
            <w:tcW w:w="1246" w:type="dxa"/>
          </w:tcPr>
          <w:p w:rsidR="00775158" w:rsidRPr="00775158" w:rsidRDefault="00775158" w:rsidP="00775158">
            <w:pPr>
              <w:jc w:val="right"/>
              <w:rPr>
                <w:rFonts w:cs="Calibri"/>
                <w:color w:val="000000"/>
              </w:rPr>
            </w:pPr>
            <w:r>
              <w:rPr>
                <w:rFonts w:cs="Calibri"/>
                <w:color w:val="000000"/>
              </w:rPr>
              <w:t>12 007</w:t>
            </w:r>
          </w:p>
        </w:tc>
        <w:tc>
          <w:tcPr>
            <w:tcW w:w="1247" w:type="dxa"/>
          </w:tcPr>
          <w:p w:rsidR="00775158" w:rsidRDefault="00775158" w:rsidP="00775158">
            <w:pPr>
              <w:spacing w:after="160" w:line="256" w:lineRule="auto"/>
              <w:jc w:val="right"/>
            </w:pPr>
            <w:r>
              <w:t>14%</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Thèse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10 632</w:t>
            </w:r>
          </w:p>
        </w:tc>
        <w:tc>
          <w:tcPr>
            <w:tcW w:w="1247" w:type="dxa"/>
            <w:shd w:val="clear" w:color="auto" w:fill="F2F2F2" w:themeFill="background1" w:themeFillShade="F2"/>
          </w:tcPr>
          <w:p w:rsidR="00775158" w:rsidRDefault="00775158" w:rsidP="00775158">
            <w:pPr>
              <w:spacing w:after="160" w:line="256" w:lineRule="auto"/>
              <w:jc w:val="right"/>
            </w:pPr>
            <w:r>
              <w:t>12%</w:t>
            </w:r>
          </w:p>
        </w:tc>
      </w:tr>
      <w:tr w:rsidR="00775158" w:rsidTr="00775158">
        <w:trPr>
          <w:jc w:val="center"/>
        </w:trPr>
        <w:tc>
          <w:tcPr>
            <w:tcW w:w="1809" w:type="dxa"/>
          </w:tcPr>
          <w:p w:rsidR="00775158" w:rsidRDefault="00775158" w:rsidP="007F391C">
            <w:pPr>
              <w:spacing w:after="160" w:line="256" w:lineRule="auto"/>
            </w:pPr>
            <w:r>
              <w:t>Mémoire</w:t>
            </w:r>
          </w:p>
        </w:tc>
        <w:tc>
          <w:tcPr>
            <w:tcW w:w="1246" w:type="dxa"/>
          </w:tcPr>
          <w:p w:rsidR="00775158" w:rsidRPr="00775158" w:rsidRDefault="00775158" w:rsidP="00775158">
            <w:pPr>
              <w:jc w:val="right"/>
              <w:rPr>
                <w:rFonts w:cs="Calibri"/>
                <w:color w:val="000000"/>
              </w:rPr>
            </w:pPr>
            <w:r>
              <w:rPr>
                <w:rFonts w:cs="Calibri"/>
                <w:color w:val="000000"/>
              </w:rPr>
              <w:t>6 716</w:t>
            </w:r>
          </w:p>
        </w:tc>
        <w:tc>
          <w:tcPr>
            <w:tcW w:w="1247" w:type="dxa"/>
          </w:tcPr>
          <w:p w:rsidR="00775158" w:rsidRDefault="00775158" w:rsidP="00775158">
            <w:pPr>
              <w:spacing w:after="160" w:line="256" w:lineRule="auto"/>
              <w:jc w:val="right"/>
            </w:pPr>
            <w:r>
              <w:t>8%</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Ouvrage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2 281</w:t>
            </w:r>
          </w:p>
        </w:tc>
        <w:tc>
          <w:tcPr>
            <w:tcW w:w="1247" w:type="dxa"/>
            <w:shd w:val="clear" w:color="auto" w:fill="F2F2F2" w:themeFill="background1" w:themeFillShade="F2"/>
          </w:tcPr>
          <w:p w:rsidR="00775158" w:rsidRDefault="00775158" w:rsidP="00775158">
            <w:pPr>
              <w:spacing w:after="160" w:line="256" w:lineRule="auto"/>
              <w:jc w:val="right"/>
            </w:pPr>
            <w:r>
              <w:t>3%</w:t>
            </w:r>
          </w:p>
        </w:tc>
      </w:tr>
      <w:tr w:rsidR="00775158" w:rsidTr="00775158">
        <w:trPr>
          <w:jc w:val="center"/>
        </w:trPr>
        <w:tc>
          <w:tcPr>
            <w:tcW w:w="1809" w:type="dxa"/>
          </w:tcPr>
          <w:p w:rsidR="00775158" w:rsidRDefault="00775158" w:rsidP="007F391C">
            <w:pPr>
              <w:spacing w:after="160" w:line="256" w:lineRule="auto"/>
            </w:pPr>
            <w:r>
              <w:t>Autre publication</w:t>
            </w:r>
          </w:p>
        </w:tc>
        <w:tc>
          <w:tcPr>
            <w:tcW w:w="1246" w:type="dxa"/>
          </w:tcPr>
          <w:p w:rsidR="00775158" w:rsidRDefault="00775158" w:rsidP="00935275">
            <w:pPr>
              <w:spacing w:after="160" w:line="256" w:lineRule="auto"/>
              <w:jc w:val="right"/>
            </w:pPr>
            <w:r>
              <w:t>2 147</w:t>
            </w:r>
          </w:p>
        </w:tc>
        <w:tc>
          <w:tcPr>
            <w:tcW w:w="1247" w:type="dxa"/>
          </w:tcPr>
          <w:p w:rsidR="00775158" w:rsidRDefault="00775158" w:rsidP="00775158">
            <w:pPr>
              <w:spacing w:after="160" w:line="256" w:lineRule="auto"/>
              <w:jc w:val="right"/>
            </w:pPr>
            <w:r>
              <w:t>3%</w:t>
            </w:r>
          </w:p>
        </w:tc>
      </w:tr>
    </w:tbl>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p>
    <w:p w:rsidR="006058FB" w:rsidRDefault="006058FB" w:rsidP="006058FB">
      <w:pPr>
        <w:pStyle w:val="Titre4"/>
        <w:numPr>
          <w:ilvl w:val="0"/>
          <w:numId w:val="6"/>
        </w:numPr>
      </w:pPr>
      <w:r>
        <w:t>Années des documents</w:t>
      </w:r>
    </w:p>
    <w:p w:rsidR="006058FB" w:rsidRDefault="006058FB" w:rsidP="006058FB">
      <w:r>
        <w:tab/>
      </w:r>
      <w:r w:rsidR="00775158">
        <w:t>Nous indiquons ici seulement les 7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lastRenderedPageBreak/>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B4732D" w:rsidP="00111540">
            <w:pPr>
              <w:spacing w:after="160" w:line="256" w:lineRule="auto"/>
              <w:jc w:val="right"/>
            </w:pPr>
            <w:r>
              <w:t>0</w:t>
            </w:r>
            <w:r w:rsidR="00751C36">
              <w:t>%</w:t>
            </w:r>
          </w:p>
        </w:tc>
      </w:tr>
    </w:tbl>
    <w:p w:rsidR="00775158" w:rsidRDefault="00751C36" w:rsidP="006058FB">
      <w:r>
        <w:tab/>
        <w:t>Sans surprise, les années les plus récentes sont les plus fournies. La 8</w:t>
      </w:r>
      <w:r w:rsidRPr="00751C36">
        <w:rPr>
          <w:vertAlign w:val="superscript"/>
        </w:rPr>
        <w:t>e</w:t>
      </w:r>
      <w:r>
        <w:t xml:space="preserve"> est 1988 avec 75 titres.</w:t>
      </w:r>
      <w:r w:rsidR="00B4732D">
        <w:t xml:space="preserve"> Autant la diffusion </w:t>
      </w:r>
      <w:proofErr w:type="gramStart"/>
      <w:r w:rsidR="00B4732D">
        <w:t>sur</w:t>
      </w:r>
      <w:proofErr w:type="gramEnd"/>
      <w:r w:rsidR="00B4732D">
        <w:t xml:space="preserve"> HAL de nouveaux articles sert directement les chercheurs, et la pratique se généralise dans le monde de la recherche en France, autant la mise en ligne d’anciens articles d’eux-mêmes ou d’autres auteurs est une tâche longue et moins gratifiante. Ce déséquilibre ne nous permet pas d’étudier sur une large fenêtre en diachronie l</w:t>
      </w:r>
      <w:r w:rsidR="00CB605D">
        <w:t>’</w:t>
      </w:r>
      <w:r w:rsidR="00B4732D">
        <w:t xml:space="preserve">évolution </w:t>
      </w:r>
      <w:r w:rsidR="00CB605D">
        <w:t xml:space="preserve">des phénomènes </w:t>
      </w:r>
      <w:r w:rsidR="00B4732D">
        <w:t xml:space="preserve">autour du </w:t>
      </w:r>
      <w:r w:rsidR="00CB605D">
        <w:t>double point</w:t>
      </w:r>
      <w:r w:rsidR="00B4732D">
        <w:t>.</w:t>
      </w:r>
    </w:p>
    <w:p w:rsidR="006058FB" w:rsidRDefault="006058FB" w:rsidP="006058FB">
      <w:pPr>
        <w:pStyle w:val="Titre4"/>
        <w:numPr>
          <w:ilvl w:val="0"/>
          <w:numId w:val="6"/>
        </w:numPr>
      </w:pPr>
      <w:r>
        <w:t>Longueurs des titres</w:t>
      </w:r>
    </w:p>
    <w:p w:rsidR="006058FB" w:rsidRDefault="006058FB" w:rsidP="006058FB">
      <w:r>
        <w:tab/>
      </w:r>
      <w:r w:rsidR="00657854">
        <w:t>La moyenne de la longueur</w:t>
      </w:r>
      <w:r w:rsidR="00FF6857">
        <w:t xml:space="preserve"> en mots</w:t>
      </w:r>
      <w:r w:rsidR="00657854">
        <w:t xml:space="preserve"> des titres est de 17,86 mots</w:t>
      </w:r>
      <w:r w:rsidR="00FF6857">
        <w:t>, pour des titres qui vont de 3 à 101 mots</w:t>
      </w:r>
      <w:r w:rsidR="00657854">
        <w:t>. La médiane est 16 mots</w:t>
      </w:r>
      <w:r w:rsidR="005269D8">
        <w:t>, le premier quartile est 12, le dernier est 21</w:t>
      </w:r>
      <w:r w:rsidR="00657854">
        <w:t>.</w:t>
      </w:r>
    </w:p>
    <w:p w:rsidR="006058FB" w:rsidRDefault="006058FB" w:rsidP="006058FB">
      <w:pPr>
        <w:pStyle w:val="Titre4"/>
        <w:numPr>
          <w:ilvl w:val="0"/>
          <w:numId w:val="6"/>
        </w:numPr>
      </w:pPr>
      <w:r>
        <w:t>Nombre d’auteurs</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Pr="006058FB" w:rsidRDefault="00C65401" w:rsidP="006058FB">
      <w:r>
        <w:tab/>
        <w:t>Si le nombre d’auteurs dans notre de corpus va de 1 à 147, 98% des titres ont néanmoins entre 1 et 7 auteurs et 69% ont un seul auteur, pour une moyenne de 1,8 auteurs par titre.</w:t>
      </w:r>
    </w:p>
    <w:p w:rsidR="006058FB" w:rsidRDefault="006058FB" w:rsidP="006058FB">
      <w:pPr>
        <w:pStyle w:val="Titre4"/>
        <w:numPr>
          <w:ilvl w:val="0"/>
          <w:numId w:val="6"/>
        </w:numPr>
      </w:pPr>
      <w:r>
        <w:t>Domaines et nombre de domaines</w:t>
      </w:r>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6058FB"/>
        </w:tc>
      </w:tr>
    </w:tbl>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6058FB" w:rsidRDefault="006058FB" w:rsidP="006058FB">
      <w:pPr>
        <w:pStyle w:val="Titre4"/>
        <w:numPr>
          <w:ilvl w:val="0"/>
          <w:numId w:val="6"/>
        </w:numPr>
      </w:pPr>
      <w:r>
        <w:t>Lexique</w:t>
      </w:r>
    </w:p>
    <w:p w:rsidR="00C37EFF" w:rsidRDefault="00B0300C" w:rsidP="000D23A9">
      <w:pPr>
        <w:ind w:firstLine="708"/>
      </w:pPr>
      <w:r>
        <w:t xml:space="preserve">En regardant les noms, quel que soit leurs positions dans le titre, on remarque </w:t>
      </w:r>
      <w:r w:rsidR="000D23A9">
        <w:t>les 5 les plus fréquents sont : « étude », « siècle », « analyse », « cas »</w:t>
      </w:r>
      <w:r w:rsidR="00002C80">
        <w:t xml:space="preserve"> TODO</w:t>
      </w:r>
      <w:r w:rsidR="00863B1E">
        <w:t xml:space="preserve"> </w:t>
      </w:r>
    </w:p>
    <w:p w:rsidR="006058FB" w:rsidRPr="006058FB" w:rsidRDefault="00863B1E" w:rsidP="000D23A9">
      <w:pPr>
        <w:ind w:firstLine="708"/>
      </w:pPr>
      <w:r>
        <w:t xml:space="preserve">PPP </w:t>
      </w:r>
      <w:r w:rsidR="00FA522F">
        <w:t>CORPUS</w:t>
      </w:r>
    </w:p>
    <w:p w:rsidR="006058FB" w:rsidRDefault="006058FB" w:rsidP="002140E5">
      <w:pPr>
        <w:pStyle w:val="Titre3"/>
      </w:pPr>
      <w:bookmarkStart w:id="16" w:name="_Toc520022713"/>
      <w:r>
        <w:lastRenderedPageBreak/>
        <w:t xml:space="preserve">II.3.2 </w:t>
      </w:r>
      <w:r w:rsidR="002140E5">
        <w:t>Connexions avec les autres études</w:t>
      </w:r>
      <w:bookmarkEnd w:id="16"/>
    </w:p>
    <w:p w:rsidR="002140E5" w:rsidRDefault="002140E5" w:rsidP="002140E5">
      <w:pPr>
        <w:pStyle w:val="Titre4"/>
        <w:numPr>
          <w:ilvl w:val="0"/>
          <w:numId w:val="7"/>
        </w:numPr>
      </w:pPr>
      <w:r>
        <w:t>Taille des corpus</w:t>
      </w:r>
    </w:p>
    <w:p w:rsidR="005B60AE" w:rsidRDefault="002140E5" w:rsidP="005B60AE">
      <w:r>
        <w:tab/>
        <w:t xml:space="preserve">Notre corpus général se rapproche </w:t>
      </w:r>
      <w:r w:rsidRPr="00B43684">
        <w:t xml:space="preserve">de celui utilisé par </w:t>
      </w:r>
      <w:proofErr w:type="spellStart"/>
      <w:r w:rsidRPr="00B43684">
        <w:t>Lewison</w:t>
      </w:r>
      <w:proofErr w:type="spellEnd"/>
      <w:r w:rsidRPr="00B43684">
        <w:t xml:space="preserve">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5B60AE">
      <w:pPr>
        <w:pStyle w:val="Titre4"/>
        <w:numPr>
          <w:ilvl w:val="0"/>
          <w:numId w:val="7"/>
        </w:numPr>
      </w:pPr>
      <w:r>
        <w:t>Lien entre phrase complète et biologie</w:t>
      </w:r>
    </w:p>
    <w:p w:rsidR="002140E5" w:rsidRDefault="005B60AE" w:rsidP="006058FB">
      <w:r>
        <w:tab/>
      </w:r>
      <w:proofErr w:type="spellStart"/>
      <w:r w:rsidRPr="00516111">
        <w:t>Haggan</w:t>
      </w:r>
      <w:proofErr w:type="spellEnd"/>
      <w:r>
        <w:t xml:space="preserve"> </w:t>
      </w:r>
      <w:sdt>
        <w:sdtPr>
          <w:id w:val="831641584"/>
          <w:citation/>
        </w:sdtPr>
        <w:sdtEndPr/>
        <w:sdtContent>
          <w:r>
            <w:fldChar w:fldCharType="begin"/>
          </w:r>
          <w:r w:rsidR="00913C83">
            <w:instrText xml:space="preserve">CITATION Hag04 \l 1036 </w:instrText>
          </w:r>
          <w:r>
            <w:fldChar w:fldCharType="separate"/>
          </w:r>
          <w:r w:rsidR="00913C83">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tab/>
        <w:t>TODO</w:t>
      </w:r>
    </w:p>
    <w:p w:rsidR="005B60AE" w:rsidRDefault="005B60AE" w:rsidP="005B60AE">
      <w:pPr>
        <w:pStyle w:val="Titre4"/>
        <w:numPr>
          <w:ilvl w:val="0"/>
          <w:numId w:val="7"/>
        </w:numPr>
      </w:pPr>
      <w:r w:rsidRPr="009970BA">
        <w:t>Longueur du titre et nombre d’auteurs </w:t>
      </w:r>
    </w:p>
    <w:p w:rsidR="005B60AE" w:rsidRDefault="005B60AE" w:rsidP="005B60AE">
      <w:r>
        <w:rPr>
          <w:b/>
        </w:rPr>
        <w:tab/>
      </w:r>
      <w:proofErr w:type="spellStart"/>
      <w:r w:rsidRPr="00516111">
        <w:t>Lewison</w:t>
      </w:r>
      <w:proofErr w:type="spellEnd"/>
      <w:r w:rsidRPr="00516111">
        <w:t xml:space="preserve"> et Hartley</w:t>
      </w:r>
      <w:r>
        <w:t xml:space="preserve"> </w:t>
      </w:r>
      <w:sdt>
        <w:sdtPr>
          <w:id w:val="1244449382"/>
          <w:citation/>
        </w:sdtPr>
        <w:sdtEndPr/>
        <w:sdtContent>
          <w:r>
            <w:fldChar w:fldCharType="begin"/>
          </w:r>
          <w:r>
            <w:instrText xml:space="preserve"> CITATION Lew05 \l 1036 </w:instrText>
          </w:r>
          <w:r>
            <w:fldChar w:fldCharType="separate"/>
          </w:r>
          <w:r w:rsidR="00913C83">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5B60AE">
      <w:pPr>
        <w:pStyle w:val="Titre4"/>
        <w:numPr>
          <w:ilvl w:val="0"/>
          <w:numId w:val="7"/>
        </w:numPr>
      </w:pPr>
      <w:r>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 xml:space="preserve">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w:t>
      </w:r>
    </w:p>
    <w:p w:rsidR="002140E5" w:rsidRDefault="005B60AE" w:rsidP="006058FB">
      <w:r>
        <w:tab/>
        <w:t>TODO</w:t>
      </w:r>
    </w:p>
    <w:p w:rsidR="005B60AE" w:rsidRPr="006058FB" w:rsidRDefault="005B60AE" w:rsidP="006058FB"/>
    <w:tbl>
      <w:tblPr>
        <w:tblStyle w:val="Grilledutableau"/>
        <w:tblW w:w="0" w:type="auto"/>
        <w:tblLook w:val="04A0" w:firstRow="1" w:lastRow="0" w:firstColumn="1" w:lastColumn="0" w:noHBand="0" w:noVBand="1"/>
      </w:tblPr>
      <w:tblGrid>
        <w:gridCol w:w="4106"/>
        <w:gridCol w:w="1276"/>
        <w:gridCol w:w="1134"/>
        <w:gridCol w:w="1417"/>
        <w:gridCol w:w="1129"/>
      </w:tblGrid>
      <w:tr w:rsidR="007F391C" w:rsidRPr="00F569F7" w:rsidTr="00840142">
        <w:tc>
          <w:tcPr>
            <w:tcW w:w="410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Type (traductions</w:t>
            </w:r>
            <w:r w:rsidRPr="00F569F7">
              <w:rPr>
                <w:b/>
                <w:vertAlign w:val="superscript"/>
              </w:rPr>
              <w:footnoteReference w:id="12"/>
            </w:r>
            <w:r w:rsidRPr="00F569F7">
              <w:rPr>
                <w:b/>
              </w:rPr>
              <w:t>)</w:t>
            </w:r>
          </w:p>
        </w:tc>
        <w:tc>
          <w:tcPr>
            <w:tcW w:w="127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corpus</w:t>
            </w:r>
          </w:p>
        </w:tc>
        <w:tc>
          <w:tcPr>
            <w:tcW w:w="1134"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corpus</w:t>
            </w:r>
          </w:p>
        </w:tc>
        <w:tc>
          <w:tcPr>
            <w:tcW w:w="1417"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HAL</w:t>
            </w:r>
          </w:p>
        </w:tc>
        <w:tc>
          <w:tcPr>
            <w:tcW w:w="1129"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HAL</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Article (Article dans une revue)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45 355</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30.94 %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681 988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49.65 %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Report (Rapport)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3 558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2.43 %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25 144</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1.83 %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Other</w:t>
            </w:r>
            <w:proofErr w:type="spellEnd"/>
            <w:r w:rsidRPr="00F569F7">
              <w:t xml:space="preserve"> (Autre publication)</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7 803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5.32 %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31 462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2.29 %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ConferenceObject</w:t>
            </w:r>
            <w:proofErr w:type="spellEnd"/>
            <w:r w:rsidRPr="00F569F7">
              <w:t xml:space="preserve"> (Communication dans un congrès)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35 860</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24.46 %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393 978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28.68 %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Preprint (</w:t>
            </w:r>
            <w:proofErr w:type="spellStart"/>
            <w:r w:rsidRPr="00F569F7">
              <w:t>Pré-publication</w:t>
            </w:r>
            <w:proofErr w:type="spellEnd"/>
            <w:r w:rsidRPr="00F569F7">
              <w:t>, document de travail)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2 878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1.96 %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37 462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2.73 %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BookPart</w:t>
            </w:r>
            <w:proofErr w:type="spellEnd"/>
            <w:r w:rsidRPr="00F569F7">
              <w:t xml:space="preserve"> (Chapitre d’ouvrage)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23 747</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center"/>
              <w:rPr>
                <w:rFonts w:ascii="Consolas" w:hAnsi="Consolas" w:cs="Consolas"/>
              </w:rPr>
            </w:pPr>
            <w:r w:rsidRPr="00F569F7">
              <w:rPr>
                <w:rFonts w:ascii="Consolas" w:hAnsi="Consolas" w:cs="Consolas"/>
              </w:rPr>
              <w:t>16.2 %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105 565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7.69 %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Lecture (Cours)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291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rPr>
                <w:rFonts w:ascii="Consolas" w:hAnsi="Consolas" w:cs="Consolas"/>
              </w:rPr>
            </w:pPr>
            <w:r>
              <w:rPr>
                <w:rFonts w:ascii="Consolas" w:hAnsi="Consolas" w:cs="Consolas"/>
              </w:rPr>
              <w:t xml:space="preserve">  </w:t>
            </w:r>
            <w:r w:rsidRPr="00F569F7">
              <w:rPr>
                <w:rFonts w:ascii="Consolas" w:hAnsi="Consolas" w:cs="Consolas"/>
              </w:rPr>
              <w:t>0.2 %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1 102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0.08 %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Book (Livre)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10 831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7.39 %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24 705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r>
              <w:rPr>
                <w:rFonts w:ascii="Consolas" w:hAnsi="Consolas" w:cs="Consolas"/>
              </w:rPr>
              <w:t xml:space="preserve"> </w:t>
            </w:r>
            <w:r w:rsidRPr="00F569F7">
              <w:rPr>
                <w:rFonts w:ascii="Consolas" w:hAnsi="Consolas" w:cs="Consolas"/>
              </w:rPr>
              <w:t>1.8 %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Patent (Brevet)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323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3 179</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DoctoralThesis</w:t>
            </w:r>
            <w:proofErr w:type="spellEnd"/>
            <w:r w:rsidRPr="00F569F7">
              <w:t xml:space="preserve"> (Thèse)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15 954</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10.88 %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68 927</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5.02 %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MasterThesis</w:t>
            </w:r>
            <w:proofErr w:type="spellEnd"/>
            <w:r w:rsidRPr="00F569F7">
              <w:t xml:space="preserve"> (Mémoire d’étudiant)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26</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right"/>
              <w:rPr>
                <w:b/>
              </w:rPr>
            </w:pPr>
            <w:r w:rsidRPr="00F569F7">
              <w:rPr>
                <w:b/>
              </w:rPr>
              <w:t>Total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146 603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proofErr w:type="gramStart"/>
            <w:r w:rsidRPr="00F569F7">
              <w:rPr>
                <w:rFonts w:ascii="Consolas" w:hAnsi="Consolas" w:cs="Consolas"/>
              </w:rPr>
              <w:t>100  %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1 373 538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100   %</w:t>
            </w:r>
          </w:p>
        </w:tc>
      </w:tr>
    </w:tbl>
    <w:p w:rsidR="007F391C" w:rsidRPr="00F569F7" w:rsidRDefault="007F391C" w:rsidP="007F391C">
      <w:pPr>
        <w:spacing w:line="240" w:lineRule="auto"/>
        <w:jc w:val="center"/>
        <w:rPr>
          <w:rFonts w:ascii="Calibri" w:eastAsia="SimSun" w:hAnsi="Calibri" w:cs="Times New Roman"/>
          <w:i/>
          <w:iCs/>
          <w:color w:val="44546A"/>
          <w:sz w:val="18"/>
          <w:szCs w:val="18"/>
        </w:rPr>
      </w:pPr>
      <w:bookmarkStart w:id="17" w:name="_Toc504428846"/>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Répartition des titres par type</w:t>
      </w:r>
      <w:bookmarkEnd w:id="17"/>
    </w:p>
    <w:p w:rsidR="00CF0243" w:rsidRDefault="00CF0243" w:rsidP="007F391C">
      <w:pPr>
        <w:ind w:firstLine="708"/>
      </w:pPr>
    </w:p>
    <w:p w:rsidR="00CF0243" w:rsidRDefault="00CF0243" w:rsidP="007F391C">
      <w:pPr>
        <w:ind w:firstLine="708"/>
      </w:pPr>
      <w:r>
        <w:lastRenderedPageBreak/>
        <w:t>Prof : parler du % d’article, de book part, et de book bien supérieur à HAL.</w:t>
      </w:r>
    </w:p>
    <w:p w:rsidR="007F391C" w:rsidRDefault="007F391C" w:rsidP="007F391C">
      <w:pPr>
        <w:ind w:firstLine="708"/>
      </w:pPr>
      <w:r w:rsidRPr="00F569F7">
        <w:t xml:space="preserve">Nous avons choisi de mettre également les nombres pour l’ensemble de l’archive ouverte HAL. Cela dans un but d’essayer de mesurer la représentativité de notre corpus par rapport à l’ensemble des données. Un bon corpus se doit d’être représentatif ce qui est globalement le cas. Les livres sont néanmoins surreprésentés (~7% contre ~2%) dans notre corpus, les chapitres d’ouvrage (~16% contre ~8%) ainsi que les thèses (~11% contre ~5%). Les articles sont </w:t>
      </w:r>
      <w:proofErr w:type="gramStart"/>
      <w:r w:rsidRPr="00F569F7">
        <w:t>par contre</w:t>
      </w:r>
      <w:proofErr w:type="gramEnd"/>
      <w:r w:rsidRPr="00F569F7">
        <w:t xml:space="preserve"> sous représentés (~31% contre ~50%). Martin (2002) pose comme notion fondamentale qu’« en raison de sa finitude, le corpus ne réalise donc qu'une part infime de ce qui est réalisable. (…) Et en toute rigueur, une grammaire construite à partir d'un corpus ne vaut que pour le corpus qui l'a produite. »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une caractéristique extrinsèque particulière, comme le type de texte par exemple, nous construirions des corpus monotypes pour vérifier nos hypothèses.</w:t>
      </w:r>
    </w:p>
    <w:p w:rsidR="00E225A8" w:rsidRDefault="00270F19" w:rsidP="002327C1">
      <w:r>
        <w:t xml:space="preserve">Caractères spéciaux : Nous avons compté la présence de points d’interrogation, d’exclamation, </w:t>
      </w: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Nous avons une moyenne pondérée de 87 caractères par titre.</w:t>
      </w:r>
    </w:p>
    <w:p w:rsidR="00527839" w:rsidRDefault="00527839" w:rsidP="00527839">
      <w:r>
        <w:t xml:space="preserve">    - Nous avons une moyenne pondérée de 13 mots par titre.</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EndPr/>
        <w:sdtContent>
          <w:r>
            <w:fldChar w:fldCharType="begin"/>
          </w:r>
          <w:r>
            <w:instrText xml:space="preserve"> CITATION Reb09 \l 1036 </w:instrText>
          </w:r>
          <w:r>
            <w:fldChar w:fldCharType="separate"/>
          </w:r>
          <w:r w:rsidR="00913C83">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18" w:name="_Toc504428865"/>
      <w:r>
        <w:t>II</w:t>
      </w:r>
      <w:r w:rsidR="00F569F7" w:rsidRPr="00F569F7">
        <w:t>.3</w:t>
      </w:r>
      <w:r>
        <w:t>.2</w:t>
      </w:r>
      <w:r w:rsidR="00F569F7" w:rsidRPr="00F569F7">
        <w:t xml:space="preserve"> Longueurs des titres et présences des caractères segmentant</w:t>
      </w:r>
      <w:bookmarkEnd w:id="18"/>
    </w:p>
    <w:p w:rsidR="005B60AE"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lastRenderedPageBreak/>
        <w:t xml:space="preserve">Une seconde tâche est de compter les mots, encore faudra-t-il décider si on les compte tous : </w:t>
      </w:r>
      <w:proofErr w:type="spellStart"/>
      <w:r w:rsidRPr="00F569F7">
        <w:rPr>
          <w:rFonts w:ascii="Calibri" w:eastAsia="SimSun" w:hAnsi="Calibri" w:cs="Times New Roman"/>
        </w:rPr>
        <w:t>Jamali</w:t>
      </w:r>
      <w:proofErr w:type="spellEnd"/>
      <w:r w:rsidRPr="00F569F7">
        <w:rPr>
          <w:rFonts w:ascii="Calibri" w:eastAsia="SimSun" w:hAnsi="Calibri" w:cs="Times New Roman"/>
        </w:rPr>
        <w:t xml:space="preserve"> et </w:t>
      </w:r>
      <w:proofErr w:type="spellStart"/>
      <w:r w:rsidRPr="00F569F7">
        <w:rPr>
          <w:rFonts w:ascii="Calibri" w:eastAsia="SimSun" w:hAnsi="Calibri" w:cs="Times New Roman"/>
        </w:rPr>
        <w:t>Nikzad</w:t>
      </w:r>
      <w:proofErr w:type="spellEnd"/>
      <w:r w:rsidRPr="00F569F7">
        <w:rPr>
          <w:rFonts w:ascii="Calibri" w:eastAsia="SimSun" w:hAnsi="Calibri" w:cs="Times New Roman"/>
        </w:rPr>
        <w:t xml:space="preserve"> (2011) ne comptent par exemple que les substantifs. </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déjà donné quelques coups de sonde dans notre corpus sur certaines caractéristiques dont nous présentons les résultats dans le tableau 7. Une remarque importante est de pas confondre le point final, d’interrogation ou d’exclamation à l’intérieur d’un titre, qui le partitionne, de celui pouvant éventuellement le terminer.</w:t>
      </w:r>
    </w:p>
    <w:tbl>
      <w:tblPr>
        <w:tblStyle w:val="Grilledutableau1"/>
        <w:tblW w:w="0" w:type="auto"/>
        <w:tblLook w:val="04A0" w:firstRow="1" w:lastRow="0" w:firstColumn="1" w:lastColumn="0" w:noHBand="0" w:noVBand="1"/>
      </w:tblPr>
      <w:tblGrid>
        <w:gridCol w:w="4531"/>
        <w:gridCol w:w="1956"/>
        <w:gridCol w:w="2575"/>
      </w:tblGrid>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Caractéristique</w:t>
            </w:r>
          </w:p>
        </w:tc>
        <w:tc>
          <w:tcPr>
            <w:tcW w:w="453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Valeur</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Nombre de titres</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146 603</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Estimation de la longueur moyenne</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13 mots / titre</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Nombre de titres avec au moins un…</w:t>
            </w:r>
          </w:p>
        </w:tc>
        <w:tc>
          <w:tcPr>
            <w:tcW w:w="1956" w:type="dxa"/>
            <w:tcBorders>
              <w:top w:val="single" w:sz="4" w:space="0" w:color="auto"/>
              <w:left w:val="single" w:sz="4" w:space="0" w:color="auto"/>
              <w:bottom w:val="single" w:sz="4" w:space="0" w:color="auto"/>
              <w:right w:val="single" w:sz="4" w:space="0" w:color="auto"/>
            </w:tcBorders>
            <w:shd w:val="clear" w:color="auto" w:fill="E7E6E6"/>
          </w:tcPr>
          <w:p w:rsidR="00F569F7" w:rsidRPr="00F569F7" w:rsidRDefault="00F569F7" w:rsidP="00F569F7">
            <w:pPr>
              <w:jc w:val="left"/>
            </w:pPr>
          </w:p>
        </w:tc>
        <w:tc>
          <w:tcPr>
            <w:tcW w:w="2575"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left"/>
            </w:pPr>
            <w:r w:rsidRPr="00F569F7">
              <w:t>Dont en dernière position</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Double 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53 169 (36,27%)</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0 (0%)</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26 121 (17.82 %)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7 230 (27.68%)</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d’interrogation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11 949 (8,15%)</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7 064 (59 .12%)</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Guillemets : «, ", »</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jc w:val="left"/>
            </w:pPr>
            <w:r w:rsidRPr="00F569F7">
              <w:t>« 6902 </w:t>
            </w:r>
            <w:r w:rsidRPr="00F569F7">
              <w:br/>
              <w:t>» 6939</w:t>
            </w:r>
            <w:r w:rsidRPr="00F569F7">
              <w:rPr>
                <w:vertAlign w:val="superscript"/>
              </w:rPr>
              <w:footnoteReference w:id="13"/>
            </w:r>
            <w:r w:rsidRPr="00F569F7">
              <w:t xml:space="preserve"> </w:t>
            </w:r>
            <w:r w:rsidRPr="00F569F7">
              <w:br/>
              <w:t>" 5813</w:t>
            </w:r>
          </w:p>
        </w:tc>
        <w:tc>
          <w:tcPr>
            <w:tcW w:w="2575" w:type="dxa"/>
            <w:tcBorders>
              <w:top w:val="single" w:sz="4" w:space="0" w:color="auto"/>
              <w:left w:val="single" w:sz="4" w:space="0" w:color="auto"/>
              <w:bottom w:val="single" w:sz="4" w:space="0" w:color="auto"/>
              <w:right w:val="single" w:sz="4" w:space="0" w:color="auto"/>
            </w:tcBorders>
          </w:tcPr>
          <w:p w:rsidR="00F569F7" w:rsidRPr="00F569F7" w:rsidRDefault="00F569F7" w:rsidP="00F569F7">
            <w:pPr>
              <w:keepNext/>
              <w:jc w:val="left"/>
            </w:pP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Point-virgule</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1 256 (0.86 %)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 (0.4%)</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d’exclamation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671 (0,46%)</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264 (39.34%)</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0" w:name="_Toc504428847"/>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Présence de quelques caractères segmentant dans notre corpus</w:t>
      </w:r>
      <w:bookmarkEnd w:id="20"/>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Il faut lire ce tableau ainsi : il y a 11 949 titres avec au moins un point d’interrogation. Parmi ceux-ci, il y en a 7 064, environ 60%, qui l’utilise comme symbole terminal. Les plus intéressants pour l’étude des partitions sont bien sûr les 40% restant qui utilisent le point d’interrogation à l’intérieur du titre, comme caractère segmentant.</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On voit que la structure qui nous intéresse, utilisant un double point, est très bien représentée dans ce corpus : plus d’un tiers des titres de celui-ci en comporte un. De plus, il n’est jamais utilisé comme symbole terminal, ce qui semble logique. Nous regarderons lexicalement les mots situés immédiatement à droite du deux points, en faisant tout d’abord une approche lexicométrique.</w:t>
      </w:r>
    </w:p>
    <w:p w:rsidR="00F569F7" w:rsidRPr="00F569F7" w:rsidRDefault="00AE4E4E" w:rsidP="005B60AE">
      <w:bookmarkStart w:id="21" w:name="_Toc504428866"/>
      <w:r>
        <w:t>II</w:t>
      </w:r>
      <w:r w:rsidR="00F569F7" w:rsidRPr="00F569F7">
        <w:t>.</w:t>
      </w:r>
      <w:r>
        <w:t>3.3</w:t>
      </w:r>
      <w:r w:rsidR="00F569F7" w:rsidRPr="00F569F7">
        <w:t xml:space="preserve"> Le lemme d’après</w:t>
      </w:r>
      <w:bookmarkEnd w:id="21"/>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2" w:name="_Toc504428848"/>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2"/>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lastRenderedPageBreak/>
        <w:t>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3" w:name="_Toc504428867"/>
      <w:bookmarkStart w:id="24" w:name="_Toc520022714"/>
      <w:r>
        <w:rPr>
          <w:rFonts w:eastAsia="Times New Roman"/>
        </w:rPr>
        <w:t>II.3</w:t>
      </w:r>
      <w:r w:rsidR="00F569F7" w:rsidRPr="00F569F7">
        <w:rPr>
          <w:rFonts w:eastAsia="Times New Roman"/>
        </w:rPr>
        <w:t>.</w:t>
      </w:r>
      <w:r w:rsidR="005B60AE">
        <w:rPr>
          <w:rFonts w:eastAsia="Times New Roman"/>
        </w:rPr>
        <w:t>3</w:t>
      </w:r>
      <w:r w:rsidR="00F569F7" w:rsidRPr="00F569F7">
        <w:rPr>
          <w:rFonts w:eastAsia="Times New Roman"/>
        </w:rPr>
        <w:t xml:space="preserve"> Quelques exemples de titres</w:t>
      </w:r>
      <w:bookmarkEnd w:id="23"/>
      <w:bookmarkEnd w:id="24"/>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[Ligne 24082,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[Ligne 95974,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[Ligne XXX,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[Ligne 32,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lastRenderedPageBreak/>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5" w:name="_Toc520022715"/>
      <w:r>
        <w:t xml:space="preserve">III. </w:t>
      </w:r>
      <w:r w:rsidR="00111540">
        <w:t>Syntagme</w:t>
      </w:r>
      <w:r w:rsidR="00450AA0">
        <w:t>s</w:t>
      </w:r>
      <w:r w:rsidR="00E34743">
        <w:t xml:space="preserve"> </w:t>
      </w:r>
      <w:r>
        <w:t>et patrons</w:t>
      </w:r>
      <w:bookmarkEnd w:id="25"/>
    </w:p>
    <w:p w:rsidR="00632053" w:rsidRDefault="00632053" w:rsidP="00632053">
      <w:pPr>
        <w:pStyle w:val="Titre2"/>
      </w:pPr>
      <w:bookmarkStart w:id="26" w:name="_Toc520022716"/>
      <w:r>
        <w:t>III</w:t>
      </w:r>
      <w:r w:rsidR="007448C4">
        <w:t xml:space="preserve">.1 </w:t>
      </w:r>
      <w:r w:rsidR="00F072D7">
        <w:t>Rappel sur les syntagmes</w:t>
      </w:r>
      <w:bookmarkEnd w:id="26"/>
    </w:p>
    <w:p w:rsidR="00A079FF" w:rsidRDefault="009161B7" w:rsidP="00F569F7">
      <w:r>
        <w:tab/>
      </w:r>
      <w:r w:rsidR="00104235">
        <w:t xml:space="preserve">Le </w:t>
      </w:r>
      <w:r w:rsidR="00104235" w:rsidRPr="00E34743">
        <w:rPr>
          <w:b/>
        </w:rPr>
        <w:t>syntagme</w:t>
      </w:r>
      <w:r w:rsidR="00104235">
        <w:t xml:space="preserve"> est selon </w:t>
      </w:r>
      <w:sdt>
        <w:sdtPr>
          <w:id w:val="-1189209844"/>
          <w:citation/>
        </w:sdtPr>
        <w:sdtEndPr/>
        <w:sdtContent>
          <w:r w:rsidR="002D1E3C">
            <w:fldChar w:fldCharType="begin"/>
          </w:r>
          <w:r w:rsidR="00A00DAC">
            <w:instrText xml:space="preserve">CITATION Mai07 \p 35 \l 1036 </w:instrText>
          </w:r>
          <w:r w:rsidR="002D1E3C">
            <w:fldChar w:fldCharType="separate"/>
          </w:r>
          <w:r w:rsidR="00913C83">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t xml:space="preserve">[syntaxique] </w:t>
      </w:r>
      <w:r w:rsidR="00104235">
        <w:t>dans une organisation hiérarchisée »</w:t>
      </w:r>
      <w:r w:rsidR="009E03D6">
        <w:t>,</w:t>
      </w:r>
      <w:r w:rsidR="00A079FF">
        <w:t xml:space="preserve"> et pour </w:t>
      </w:r>
      <w:sdt>
        <w:sdtPr>
          <w:id w:val="1947655336"/>
          <w:citation/>
        </w:sdtPr>
        <w:sdtEnd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 « un syntagme est une suite de morphèmes qui forme un constituant de la proposition (ou de la phrase) et qui est organisé 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End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D773E0" w:rsidRDefault="00A079FF" w:rsidP="00F569F7">
      <w:r>
        <w:tab/>
      </w:r>
      <w:r w:rsidR="009E03D6">
        <w:t xml:space="preserve">Concrètement, un syntagme est représenté </w:t>
      </w:r>
      <w:r w:rsidR="002D1E3C">
        <w:t xml:space="preserve">dans notre travail </w:t>
      </w:r>
      <w:r w:rsidR="009E03D6">
        <w:t xml:space="preserve">par une </w:t>
      </w:r>
      <w:r w:rsidR="00E34743" w:rsidRPr="00E34743">
        <w:rPr>
          <w:b/>
        </w:rPr>
        <w:t>séquence</w:t>
      </w:r>
      <w:r w:rsidR="009E03D6">
        <w:t xml:space="preserve"> </w:t>
      </w:r>
      <w:r w:rsidR="002D3E83">
        <w:t xml:space="preserve">d’étiquettes POS </w:t>
      </w:r>
      <w:r w:rsidR="009E03D6">
        <w:t>comme « DET NC P DET NC »</w:t>
      </w:r>
      <w:r w:rsidR="00CF4349">
        <w:rPr>
          <w:rStyle w:val="Appelnotedebasdep"/>
        </w:rPr>
        <w:footnoteReference w:id="14"/>
      </w:r>
      <w:r w:rsidR="002D1E3C">
        <w:t xml:space="preserve"> pour « la maison de la forêt »</w:t>
      </w:r>
      <w:r w:rsidR="009E03D6">
        <w:t>.</w:t>
      </w:r>
      <w:r w:rsidR="00DC714B">
        <w:t xml:space="preserve"> </w:t>
      </w:r>
      <w:r w:rsidR="00F410E4">
        <w:t>On remarque que ce syntagme est lui-même organisé en sous-syntagmes : l</w:t>
      </w:r>
      <w:r w:rsidR="00A506DA">
        <w:t>a</w:t>
      </w:r>
      <w:r w:rsidR="00DC714B">
        <w:t xml:space="preserve"> linéarité </w:t>
      </w:r>
      <w:r w:rsidR="00A506DA">
        <w:t xml:space="preserve">de la </w:t>
      </w:r>
      <w:r w:rsidR="00E34743">
        <w:t>séquence</w:t>
      </w:r>
      <w:r w:rsidR="00A506DA">
        <w:t xml:space="preserve"> </w:t>
      </w:r>
      <w:r w:rsidR="00DC714B">
        <w:t xml:space="preserve">ne doit pas faire oublier </w:t>
      </w:r>
      <w:r w:rsidR="00A506DA">
        <w:t>l’organisation hiérarchique</w:t>
      </w:r>
      <w:r w:rsidR="00A00DAC">
        <w:t xml:space="preserve"> des constituants du syntagme</w:t>
      </w:r>
      <w:r w:rsidR="00E34743">
        <w:t xml:space="preserve">, sa </w:t>
      </w:r>
      <w:r w:rsidR="00E34743" w:rsidRPr="00E34743">
        <w:rPr>
          <w:b/>
        </w:rPr>
        <w:t>structure</w:t>
      </w:r>
      <w:r w:rsidR="00A00DAC">
        <w:t>.</w:t>
      </w:r>
      <w:r>
        <w:t xml:space="preserve"> Ainsi notre syntagme nominal, qui a pour noyau « maison », a un complément déterminatif prépositionnel qui est un syntagme prépositionnel</w:t>
      </w:r>
      <w:r w:rsidR="002D3E83">
        <w:t>,</w:t>
      </w:r>
      <w:r w:rsidR="00D773E0">
        <w:t xml:space="preserve"> dont le noyau est « de »,</w:t>
      </w:r>
      <w:r>
        <w:t xml:space="preserve"> et qui contient un syntagme nominal</w:t>
      </w:r>
      <w:r w:rsidR="002D3E83">
        <w:t>,</w:t>
      </w:r>
      <w:r w:rsidR="00D773E0">
        <w:t xml:space="preserve"> ayant pour noyau « forêt »</w:t>
      </w:r>
      <w:r>
        <w:t>.</w:t>
      </w:r>
    </w:p>
    <w:p w:rsidR="00974558" w:rsidRDefault="00D773E0" w:rsidP="00F569F7">
      <w:r>
        <w:tab/>
      </w:r>
      <w:sdt>
        <w:sdtPr>
          <w:id w:val="745613630"/>
          <w:citation/>
        </w:sdtPr>
        <w:sdtEndPr/>
        <w:sdtContent>
          <w:r w:rsidR="00F410E4">
            <w:fldChar w:fldCharType="begin"/>
          </w:r>
          <w:r w:rsidR="00F410E4">
            <w:instrText xml:space="preserve">CITATION Mai07 \p 119 \l 1036 </w:instrText>
          </w:r>
          <w:r w:rsidR="00F410E4">
            <w:fldChar w:fldCharType="separate"/>
          </w:r>
          <w:r w:rsidR="00913C83">
            <w:rPr>
              <w:noProof/>
            </w:rPr>
            <w:t>(Maingueneau, Chiss, &amp; Filliolet, 2007, p. 119)</w:t>
          </w:r>
          <w:r w:rsidR="00F410E4">
            <w:fldChar w:fldCharType="end"/>
          </w:r>
        </w:sdtContent>
      </w:sdt>
      <w:r w:rsidR="00A506DA">
        <w:t xml:space="preserve"> </w:t>
      </w:r>
      <w:r w:rsidR="00F410E4">
        <w:t xml:space="preserve">indique qu’un consensus existe pour représenter </w:t>
      </w:r>
      <w:r w:rsidR="00E34743">
        <w:t>les</w:t>
      </w:r>
      <w:r>
        <w:t xml:space="preserve"> syntagmes</w:t>
      </w:r>
      <w:r w:rsidR="00E34743">
        <w:t xml:space="preserve"> et leurs structures</w:t>
      </w:r>
      <w:r>
        <w:t xml:space="preserve"> </w:t>
      </w:r>
      <w:r w:rsidR="00F410E4">
        <w:t xml:space="preserve">en utilisant des graphes arborescents, </w:t>
      </w:r>
      <w:r>
        <w:t xml:space="preserve">communément appelés </w:t>
      </w:r>
      <w:r w:rsidRPr="00D773E0">
        <w:rPr>
          <w:i/>
        </w:rPr>
        <w:t>arbres</w:t>
      </w:r>
      <w:r>
        <w:t xml:space="preserve">. 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lastRenderedPageBreak/>
        <w:drawing>
          <wp:inline distT="0" distB="0" distL="0" distR="0">
            <wp:extent cx="4524375" cy="3086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27" w:name="_Ref519780114"/>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27"/>
    </w:p>
    <w:p w:rsidR="00F50191" w:rsidRDefault="00F50191" w:rsidP="00F50191">
      <w:r>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 Elles sont au nombre de 45</w:t>
      </w:r>
      <w:r w:rsidR="005B6AB3">
        <w:t> </w:t>
      </w:r>
      <w:r>
        <w:t>098</w:t>
      </w:r>
      <w:r w:rsidR="005B6AB3">
        <w:t>.</w:t>
      </w:r>
      <w:r w:rsidRPr="00F50191">
        <w:t xml:space="preserve"> </w:t>
      </w:r>
      <w:r>
        <w:t xml:space="preserve">Nous les avons observés sous deux angles : </w:t>
      </w:r>
      <w:r w:rsidR="00E34743">
        <w:t>les éléments qui les composent,</w:t>
      </w:r>
      <w:r>
        <w:t xml:space="preserve"> et leurs nombres d’occurrences.</w:t>
      </w:r>
    </w:p>
    <w:p w:rsidR="00F072D7" w:rsidRDefault="00F072D7" w:rsidP="00F072D7">
      <w:pPr>
        <w:pStyle w:val="Titre2"/>
      </w:pPr>
      <w:bookmarkStart w:id="28" w:name="_Toc520022717"/>
      <w:r>
        <w:t xml:space="preserve">III.2 </w:t>
      </w:r>
      <w:r w:rsidR="00E34743">
        <w:t>Limites de notre étude</w:t>
      </w:r>
      <w:bookmarkEnd w:id="28"/>
    </w:p>
    <w:p w:rsidR="00A54095" w:rsidRDefault="00F50191" w:rsidP="00F072D7">
      <w:pPr>
        <w:ind w:firstLine="708"/>
      </w:pPr>
      <w:r>
        <w:t xml:space="preserve">Pour réduire la portée de notre étude aux dimensions de cet exercice, nous nous limitons à </w:t>
      </w:r>
      <w:r w:rsidR="003E3B01">
        <w:t>étudier</w:t>
      </w:r>
      <w:r w:rsidR="00745870">
        <w:t xml:space="preserve"> dans les titres</w:t>
      </w:r>
      <w:r>
        <w:t xml:space="preserve"> le syntagme qui suit </w:t>
      </w:r>
      <w:r w:rsidRPr="00745870">
        <w:rPr>
          <w:i/>
        </w:rPr>
        <w:t>immédiatement</w:t>
      </w:r>
      <w:r w:rsidR="00E34743">
        <w:t xml:space="preserve"> le double point </w:t>
      </w:r>
      <w:r w:rsidR="00745870">
        <w:t>et non pas l’ensemble des mots après</w:t>
      </w:r>
      <w:r w:rsidR="00E34743">
        <w:t>. Nous nous limitons également</w:t>
      </w:r>
      <w:r w:rsidR="00400BA8">
        <w:t xml:space="preserve"> notre </w:t>
      </w:r>
      <w:r w:rsidR="00322E1F">
        <w:t>travail</w:t>
      </w:r>
      <w:r w:rsidR="00E34743">
        <w:t xml:space="preserve"> en n’appréhendant pas l’intégralité de</w:t>
      </w:r>
      <w:r w:rsidR="004C7930">
        <w:t xml:space="preserve"> l</w:t>
      </w:r>
      <w:r w:rsidR="00E34743">
        <w:t>a structure</w:t>
      </w:r>
      <w:r w:rsidR="004C7930">
        <w:t xml:space="preserve"> de ce syntagme</w:t>
      </w:r>
      <w:r w:rsidR="00E34743">
        <w:t xml:space="preserve"> mais une partie seulement.</w:t>
      </w:r>
      <w:r w:rsidR="004C7930">
        <w:t xml:space="preserve"> Il est néanmoins difficile de savoir où « couper » entre partie observée et partie non observée dans la séquence après le double point pour restreindre notre étude. Il est également très difficile de résonner avec un grand nombre de possibilité, il nous faut les regrouper.</w:t>
      </w:r>
    </w:p>
    <w:p w:rsidR="008E20D4" w:rsidRDefault="008E20D4" w:rsidP="00F072D7">
      <w:pPr>
        <w:ind w:firstLine="708"/>
      </w:pPr>
      <w:r>
        <w:t>Nous savons qu’un syntagme ne s’étant jamais au-delà de la phrase dont il est un constituant. Nous pouvons donc exclure de notre observation tout ce qui se trouve après un point, un point d’interrogation, un point d’exclamation ou un point-virgule.</w:t>
      </w:r>
      <w:r w:rsidR="00445C4A">
        <w:t xml:space="preserve"> Notre inventaire des séquences tombe alors à </w:t>
      </w:r>
      <w:r w:rsidR="00492454">
        <w:t>42</w:t>
      </w:r>
      <w:r w:rsidR="0029667E">
        <w:t> </w:t>
      </w:r>
      <w:r w:rsidR="00492454">
        <w:t>942</w:t>
      </w:r>
      <w:r w:rsidR="0029667E">
        <w:t>. On élimine 2156 séquences qui sont jugées équivalentes</w:t>
      </w:r>
      <w:r w:rsidR="00492454">
        <w:t>.</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à ce </w:t>
      </w:r>
      <w:r w:rsidR="005B6AB3">
        <w:t>syntagme complexe</w:t>
      </w:r>
      <w:r w:rsidR="00181572">
        <w:t>, il reste toujours</w:t>
      </w:r>
      <w:r w:rsidR="003E3B01">
        <w:t xml:space="preserve"> représenté par </w:t>
      </w:r>
      <w:r w:rsidR="00F50191">
        <w:t xml:space="preserve">une grande variété de </w:t>
      </w:r>
      <w:r w:rsidR="00375369">
        <w:t>séquences</w:t>
      </w:r>
      <w:r w:rsidR="005B6AB3">
        <w:t>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29" w:name="_Ref519781251"/>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lastRenderedPageBreak/>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r>
        <w:t xml:space="preserve">Tableau </w:t>
      </w:r>
      <w:r w:rsidR="00A00DAC">
        <w:rPr>
          <w:noProof/>
        </w:rPr>
        <w:fldChar w:fldCharType="begin"/>
      </w:r>
      <w:r w:rsidR="00A00DAC">
        <w:rPr>
          <w:noProof/>
        </w:rPr>
        <w:instrText xml:space="preserve"> SEQ Tableau \* ARABIC </w:instrText>
      </w:r>
      <w:r w:rsidR="00A00DAC">
        <w:rPr>
          <w:noProof/>
        </w:rPr>
        <w:fldChar w:fldCharType="separate"/>
      </w:r>
      <w:r w:rsidR="001E1032">
        <w:rPr>
          <w:noProof/>
        </w:rPr>
        <w:t>5</w:t>
      </w:r>
      <w:r w:rsidR="00A00DAC">
        <w:rPr>
          <w:noProof/>
        </w:rPr>
        <w:fldChar w:fldCharType="end"/>
      </w:r>
      <w:r>
        <w:t>: exemples de suites d</w:t>
      </w:r>
      <w:r w:rsidR="004A3E2D">
        <w:t>e catégories</w:t>
      </w:r>
      <w:r>
        <w:t xml:space="preserve"> correspondant à un syntagme nominal</w:t>
      </w:r>
      <w:r w:rsidR="00167EF2">
        <w:t xml:space="preserve"> après le double point</w:t>
      </w:r>
      <w:bookmarkEnd w:id="29"/>
    </w:p>
    <w:p w:rsidR="003E3B01" w:rsidRDefault="003E3B01" w:rsidP="00F50191">
      <w:r>
        <w:tab/>
      </w:r>
      <w:r w:rsidR="005B6AB3">
        <w:t>Pour capturer toute c</w:t>
      </w:r>
      <w:r>
        <w:t>es variantes, nous avons besoin d’un autre outil conceptuel : le patron.</w:t>
      </w:r>
    </w:p>
    <w:p w:rsidR="003E3B01" w:rsidRDefault="002F7CFC" w:rsidP="002F7CFC">
      <w:pPr>
        <w:pStyle w:val="Titre2"/>
      </w:pPr>
      <w:bookmarkStart w:id="30" w:name="_Toc520022718"/>
      <w:r>
        <w:t>III.</w:t>
      </w:r>
      <w:r w:rsidR="00F072D7">
        <w:t>3</w:t>
      </w:r>
      <w:r>
        <w:t xml:space="preserve"> Définition des patrons</w:t>
      </w:r>
      <w:bookmarkEnd w:id="30"/>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séquence s’accorde.</w:t>
      </w:r>
      <w:r>
        <w:t xml:space="preserve"> </w:t>
      </w:r>
      <w:r w:rsidR="00375369">
        <w:t>Sa caractéristique principale est sa variabilité. Le modèle définit que c</w:t>
      </w:r>
      <w:r>
        <w:t xml:space="preserve">ertaines </w:t>
      </w:r>
      <w:r w:rsidR="00375369">
        <w:t>étiquettes POS</w:t>
      </w:r>
      <w:r>
        <w:t xml:space="preserve"> </w:t>
      </w:r>
      <w:r w:rsidR="00167EF2">
        <w:t xml:space="preserve">peuvent ne pas apparaître, 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 xml:space="preserve">Lever cette ambiguïté reviendrait à faire une analyse syntaxique plus poussée des éléments après le double point, or c’est ce que nous voulons éviter. Nous resterons </w:t>
      </w:r>
      <w:proofErr w:type="gramStart"/>
      <w:r>
        <w:t>conscient</w:t>
      </w:r>
      <w:proofErr w:type="gramEnd"/>
      <w:r>
        <w:t xml:space="preserve"> de ce</w:t>
      </w:r>
      <w:r w:rsidR="0008279A">
        <w:t>tte simplification</w:t>
      </w:r>
      <w:r>
        <w:t xml:space="preserve"> lors de l’analyse de nos résultats</w:t>
      </w:r>
      <w:r w:rsidR="00D93A38">
        <w:t xml:space="preserve"> et p</w:t>
      </w:r>
      <w:r>
        <w:t>ouvons</w:t>
      </w:r>
      <w:r w:rsidR="00D93A38">
        <w:t xml:space="preserve"> à présent</w:t>
      </w:r>
      <w:r>
        <w:t xml:space="preserve"> commencer à écrire nos patrons.</w:t>
      </w:r>
    </w:p>
    <w:p w:rsidR="001E1032" w:rsidRDefault="0085177D" w:rsidP="00F569F7">
      <w:r w:rsidRPr="00C74C05">
        <w:rPr>
          <w:b/>
        </w:rPr>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fldChar w:fldCharType="begin"/>
      </w:r>
      <w:r w:rsidR="008776E6">
        <w:instrText xml:space="preserve"> REF _Ref519780114 \h </w:instrText>
      </w:r>
      <w:r w:rsidR="008776E6">
        <w:fldChar w:fldCharType="separate"/>
      </w:r>
      <w:r w:rsidR="001E1032">
        <w:t xml:space="preserve">Figure </w:t>
      </w:r>
      <w:r w:rsidR="001E1032">
        <w:rPr>
          <w:noProof/>
        </w:rPr>
        <w:t>1</w:t>
      </w:r>
      <w:r w:rsidR="001E1032">
        <w:t xml:space="preserve"> : arbre d'analyse</w:t>
      </w:r>
      <w:r w:rsidR="008776E6">
        <w:fldChar w:fldCharType="end"/>
      </w:r>
      <w:r w:rsidR="001F7F22">
        <w:t xml:space="preserve"> et </w:t>
      </w:r>
      <w:r w:rsidR="00C74C05">
        <w:t>aux séquences</w:t>
      </w:r>
      <w:r w:rsidR="0069299C">
        <w:t xml:space="preserve"> dans </w:t>
      </w:r>
      <w:r w:rsidR="001F7F22">
        <w:t xml:space="preserve">le </w:t>
      </w:r>
      <w:r w:rsidR="001F7F22">
        <w:fldChar w:fldCharType="begin"/>
      </w:r>
      <w:r w:rsidR="001F7F22">
        <w:instrText xml:space="preserve"> REF  _Ref519781251 \h </w:instrText>
      </w:r>
      <w:r w:rsidR="001F7F22">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lastRenderedPageBreak/>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1E1032" w:rsidRPr="005B6AB3" w:rsidRDefault="001E1032"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8776E6" w:rsidRDefault="001E1032" w:rsidP="00F569F7">
      <w:r>
        <w:t xml:space="preserve">Tableau </w:t>
      </w:r>
      <w:r>
        <w:rPr>
          <w:noProof/>
        </w:rPr>
        <w:t>5</w:t>
      </w:r>
      <w:r>
        <w:t>: exemples de suites de catégories correspondant à un syntagme nominal après le double point</w:t>
      </w:r>
      <w:r w:rsidR="001F7F22">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Éventuellement, ce patron pourrait correspondre à des suites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de les regrouper sous un patron donné</w:t>
      </w:r>
      <w:r w:rsidR="00C5214C">
        <w:t>.</w:t>
      </w:r>
      <w:r w:rsidR="00C74C05">
        <w:t xml:space="preserve"> Comme notre langage ne permet pas la répétition à l’infini d’élément, il est toujours possible de générer toutes les séquences s’</w:t>
      </w:r>
      <w:r w:rsidR="004130EE">
        <w:t>accordant avec un patron donné. Cela permet de mesurer sa variabilité.</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 xml:space="preserve">Nous avons exposé nos patrons ainsi que leurs limitations de ne capturer que la séquence et non la structure des syntagmes. Nous avons décrit le langage mis au point pour les exprimer. </w:t>
      </w:r>
      <w:r>
        <w:t xml:space="preserve">Nous pouvons à présent passer </w:t>
      </w:r>
      <w:r w:rsidR="00CF2DFA">
        <w:t>à la construction de trois patrons qui couvriront la majorité de notre corpus</w:t>
      </w:r>
      <w:r w:rsidR="00CC3090">
        <w:t>, chacun capturant un syntagme comprenant deux noms</w:t>
      </w:r>
      <w:r w:rsidR="00CF2DFA">
        <w:t>.</w:t>
      </w:r>
    </w:p>
    <w:p w:rsidR="00C5214C" w:rsidRDefault="005B6AB3" w:rsidP="005B6AB3">
      <w:pPr>
        <w:pStyle w:val="Titre2"/>
      </w:pPr>
      <w:bookmarkStart w:id="31" w:name="_Toc520022719"/>
      <w:r>
        <w:t>III.</w:t>
      </w:r>
      <w:r w:rsidR="00F072D7">
        <w:t>4</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31"/>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1400BF" w:rsidRDefault="0075783E" w:rsidP="00FC2D29">
      <w:pPr>
        <w:ind w:firstLine="708"/>
      </w:pPr>
      <w:r>
        <w:t>Les trois types de syntagmes que nous avons décidé d’étudier sont : le syntagme nominal, le syntagme prépositionnel et le syntagme verbal. À chaque fois, nous avons limité la complexité de ceux-ci en interrompant notre exploration.</w:t>
      </w:r>
      <w:r w:rsidR="008F399B">
        <w:t xml:space="preserve"> </w:t>
      </w:r>
      <w:r>
        <w:t>Pour le syntagme nominal par exemple, nous demandons la présence d’un sous syntagme prépositionnel mais nous ne regardons pas s’il y en a plus d’un ou ce qui suit.</w:t>
      </w:r>
      <w:r w:rsidR="00CE7AFE">
        <w:t xml:space="preserve"> Un patron s’accordera avec l’entièreté de la séquence si le début de celle-ci s’accorde avec lui, c’est-à-dire correspond à une séquence générée par celui-ci. Si plusieurs séquences générées par le patron </w:t>
      </w:r>
      <w:r w:rsidR="00A82287">
        <w:t>correspondent au début de</w:t>
      </w:r>
      <w:r w:rsidR="00CE7AFE">
        <w:t xml:space="preserve"> la séquence interrogée, la séquence</w:t>
      </w:r>
      <w:r w:rsidR="00A82287">
        <w:t xml:space="preserve"> générée</w:t>
      </w:r>
      <w:r w:rsidR="00CE7AFE">
        <w:t xml:space="preserve"> la plus longue sera retenue.</w:t>
      </w:r>
    </w:p>
    <w:p w:rsidR="003C3245" w:rsidRDefault="003C3245" w:rsidP="00FC2D29">
      <w:pPr>
        <w:ind w:firstLine="708"/>
      </w:pPr>
      <w:r>
        <w:t>Cette sélection s’est faite en regardant notre inventaire et en choisissant les séquences utilisées par le plus de titres pou</w:t>
      </w:r>
      <w:r w:rsidR="00417DD8">
        <w:t>r avoir une couverture maximale : en bleu, les lignes corre</w:t>
      </w:r>
      <w:r w:rsidR="00C90870">
        <w:t>spondant à un syntagme nominal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r>
        <w:t xml:space="preserve">Tableau </w:t>
      </w:r>
      <w:r w:rsidR="007C56FF">
        <w:rPr>
          <w:noProof/>
        </w:rPr>
        <w:fldChar w:fldCharType="begin"/>
      </w:r>
      <w:r w:rsidR="007C56FF">
        <w:rPr>
          <w:noProof/>
        </w:rPr>
        <w:instrText xml:space="preserve"> SEQ Tableau \* ARABIC </w:instrText>
      </w:r>
      <w:r w:rsidR="007C56FF">
        <w:rPr>
          <w:noProof/>
        </w:rPr>
        <w:fldChar w:fldCharType="separate"/>
      </w:r>
      <w:r w:rsidR="001E1032">
        <w:rPr>
          <w:noProof/>
        </w:rPr>
        <w:t>6</w:t>
      </w:r>
      <w:r w:rsidR="007C56FF">
        <w:rPr>
          <w:noProof/>
        </w:rPr>
        <w:fldChar w:fldCharType="end"/>
      </w:r>
      <w:r>
        <w:t>: Les séquences les plus fréquentes dans les titres</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5B6AB3" w:rsidRDefault="0075783E" w:rsidP="0075783E">
      <w:pPr>
        <w:pStyle w:val="Paragraphedeliste"/>
        <w:numPr>
          <w:ilvl w:val="0"/>
          <w:numId w:val="10"/>
        </w:numPr>
      </w:pPr>
      <w:r>
        <w:t>L</w:t>
      </w:r>
      <w:r w:rsidR="00AA06C1">
        <w:t>e comptage automatique de la couverture du patron. L</w:t>
      </w:r>
      <w:r w:rsidR="00A26BF3">
        <w:t>a couverture du</w:t>
      </w:r>
      <w:r w:rsidR="00AA06C1">
        <w:t xml:space="preserve"> patron est le nombre de </w:t>
      </w:r>
      <w:r w:rsidR="00A26BF3">
        <w:t>séquences d’étiquettes POS</w:t>
      </w:r>
      <w:r w:rsidR="00AA06C1">
        <w:t xml:space="preserve"> ou de titres auxquels il correspond, par rapport au nombre </w:t>
      </w:r>
      <w:r w:rsidR="00A26BF3">
        <w:t xml:space="preserve">total </w:t>
      </w:r>
      <w:r w:rsidR="00AA06C1">
        <w:t xml:space="preserve">de </w:t>
      </w:r>
      <w:r w:rsidR="00A26BF3">
        <w:t xml:space="preserve">séquences </w:t>
      </w:r>
      <w:r w:rsidR="00AA06C1">
        <w:t>inventoriées (</w:t>
      </w:r>
      <w:r w:rsidR="00A17A9C">
        <w:t>42 942</w:t>
      </w:r>
      <w:r w:rsidR="00AA06C1">
        <w:t>) et de titres dans notre corpus (</w:t>
      </w:r>
      <w:r w:rsidR="00AA06C1" w:rsidRPr="00AA06C1">
        <w:t>85 531</w:t>
      </w:r>
      <w:r w:rsidR="00AA06C1">
        <w:t>).</w:t>
      </w:r>
      <w:r w:rsidR="00513FF2">
        <w:t xml:space="preserve"> Le plus important est la couverture des titres, car certaines </w:t>
      </w:r>
      <w:r w:rsidR="00A26BF3">
        <w:t>séquences</w:t>
      </w:r>
      <w:r w:rsidR="00513FF2">
        <w:t xml:space="preserve"> sont très peu utilisées</w:t>
      </w:r>
      <w:r w:rsidR="00BB69DB">
        <w:t> : 37 150 séquences</w:t>
      </w:r>
      <w:r w:rsidR="00281EB8">
        <w:t>, soit 86%</w:t>
      </w:r>
      <w:r w:rsidR="00240463">
        <w:t>,</w:t>
      </w:r>
      <w:r w:rsidR="00BB69DB">
        <w:t xml:space="preserve"> ne sont utilisées que par un titre</w:t>
      </w:r>
      <w:r w:rsidR="00513FF2">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 NC P NC, avant de rajouter les différents éléments optionnels puis les choix et les répétitions possibles pour obtenir trois patrons ayant 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2B44D4" w:rsidRDefault="002B44D4" w:rsidP="0075783E">
      <w:pPr>
        <w:ind w:firstLine="708"/>
      </w:pPr>
      <w:r w:rsidRPr="00A94A98">
        <w:rPr>
          <w:b/>
          <w:color w:val="4F81BD" w:themeColor="accent1"/>
        </w:rPr>
        <w:t>Exemple :</w:t>
      </w:r>
      <w:r>
        <w:t xml:space="preserve"> un des patrons, capturant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lastRenderedPageBreak/>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1D79F0" w:rsidRPr="001D79F0" w:rsidRDefault="001D79F0" w:rsidP="001D79F0">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 +1,</w:t>
      </w:r>
      <w:r w:rsidR="00AB13A9">
        <w:t>44</w:t>
      </w:r>
      <w:r>
        <w:t>%. Il ne s’accord</w:t>
      </w:r>
      <w:r w:rsidR="000B34CD">
        <w:t>e</w:t>
      </w:r>
      <w:r>
        <w:t xml:space="preserve"> pas avec 2</w:t>
      </w:r>
      <w:r w:rsidR="005348DE">
        <w:t xml:space="preserve">1 750 </w:t>
      </w:r>
      <w:r>
        <w:t>séquences, soit 5</w:t>
      </w:r>
      <w:r w:rsidR="005348DE">
        <w:t>0</w:t>
      </w:r>
      <w:r>
        <w:t>.</w:t>
      </w:r>
      <w:r w:rsidR="005348DE">
        <w:t>65</w:t>
      </w:r>
      <w:r>
        <w:t>% et s’accord</w:t>
      </w:r>
      <w:r w:rsidR="000B34CD">
        <w:t>e</w:t>
      </w:r>
      <w:r>
        <w:t xml:space="preserve"> avec 42 606 titres, soit 49.81% et une amélioration de 1279 en absolu et 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un au</w:t>
      </w:r>
      <w:r w:rsidR="00000A5C">
        <w:t xml:space="preserve">tre radicalement différent, </w:t>
      </w:r>
      <w:r w:rsidR="00A60D3C">
        <w:t>en</w:t>
      </w:r>
      <w:r w:rsidR="00000A5C">
        <w:t xml:space="preserve"> capturant autre chose qu’un syntagme nominal incluant un syntagme prépositionnel ayant un nom.</w:t>
      </w:r>
      <w:r w:rsidR="000B34CD">
        <w:t xml:space="preserve"> </w:t>
      </w:r>
    </w:p>
    <w:p w:rsidR="00AA06C1" w:rsidRDefault="00F072D7" w:rsidP="0075783E">
      <w:pPr>
        <w:ind w:firstLine="708"/>
      </w:pPr>
      <w:r>
        <w:t>Dans la partie suivante, nous présentons les 3 patrons ainsi que l’étude de différents aspects.</w:t>
      </w:r>
    </w:p>
    <w:p w:rsidR="00F072D7" w:rsidRDefault="00F072D7" w:rsidP="00F072D7">
      <w:pPr>
        <w:pStyle w:val="Titre1"/>
      </w:pPr>
      <w:bookmarkStart w:id="32" w:name="_Toc520022720"/>
      <w:r>
        <w:t>IV. Études des trois patrons</w:t>
      </w:r>
      <w:bookmarkEnd w:id="32"/>
    </w:p>
    <w:p w:rsidR="00714BA6" w:rsidRDefault="00714BA6" w:rsidP="00F072D7">
      <w:pPr>
        <w:pStyle w:val="Titre2"/>
      </w:pPr>
      <w:bookmarkStart w:id="33" w:name="_Toc520022721"/>
      <w:r w:rsidRPr="00714BA6">
        <w:t>I</w:t>
      </w:r>
      <w:r w:rsidR="00F072D7">
        <w:t>V</w:t>
      </w:r>
      <w:r w:rsidRPr="00714BA6">
        <w:t>.</w:t>
      </w:r>
      <w:r w:rsidR="00F072D7">
        <w:t>1</w:t>
      </w:r>
      <w:r w:rsidRPr="00714BA6">
        <w:t xml:space="preserve"> Patron </w:t>
      </w:r>
      <w:r w:rsidR="00F072D7">
        <w:t xml:space="preserve">n°1 : </w:t>
      </w:r>
      <w:r>
        <w:t>syntagme nominal</w:t>
      </w:r>
      <w:bookmarkEnd w:id="33"/>
    </w:p>
    <w:p w:rsidR="00F072D7" w:rsidRPr="00F072D7" w:rsidRDefault="00F072D7" w:rsidP="00F072D7">
      <w:pPr>
        <w:pStyle w:val="Titre3"/>
      </w:pPr>
      <w:bookmarkStart w:id="34" w:name="_Toc520022722"/>
      <w:r>
        <w:t>IV.1.A Fiche d’identité</w:t>
      </w:r>
      <w:bookmarkEnd w:id="34"/>
    </w:p>
    <w:p w:rsidR="0075783E" w:rsidRDefault="00714BA6" w:rsidP="0075783E">
      <w:pPr>
        <w:pBdr>
          <w:bottom w:val="single" w:sz="4" w:space="1" w:color="4F81BD" w:themeColor="accent1"/>
          <w:between w:val="single" w:sz="4" w:space="1" w:color="4F81BD" w:themeColor="accent1"/>
        </w:pBdr>
      </w:pPr>
      <w:r w:rsidRPr="00745798">
        <w:rPr>
          <w:b/>
          <w:color w:val="4F81BD" w:themeColor="accent1"/>
        </w:rPr>
        <w:t>Description</w:t>
      </w:r>
      <w:r>
        <w:t xml:space="preserve"> </w:t>
      </w:r>
      <w:r w:rsidR="0075783E">
        <w:tab/>
      </w:r>
      <w:r w:rsidR="0075783E">
        <w:tab/>
      </w:r>
      <w:r w:rsidRPr="00714BA6">
        <w:t>Il s’agit d’un syntagm</w:t>
      </w:r>
      <w:r>
        <w:t>e nominal incluant un syntagme prépositionnel.</w:t>
      </w:r>
    </w:p>
    <w:p w:rsidR="00714BA6" w:rsidRDefault="00714BA6" w:rsidP="00C711DD">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rsidR="0075783E">
        <w:tab/>
      </w:r>
      <w:r w:rsidRPr="00714BA6">
        <w:rPr>
          <w:rStyle w:val="CodeCar"/>
          <w:bdr w:val="single" w:sz="4" w:space="0" w:color="4F81BD" w:themeColor="accent1"/>
        </w:rPr>
        <w:t>NC P N</w:t>
      </w:r>
      <w:r>
        <w:rPr>
          <w:rStyle w:val="CodeCar"/>
          <w:bdr w:val="single" w:sz="4" w:space="0" w:color="4F81BD" w:themeColor="accent1"/>
        </w:rPr>
        <w:t>C</w:t>
      </w:r>
    </w:p>
    <w:p w:rsidR="00714BA6" w:rsidRPr="00745798" w:rsidRDefault="00714BA6" w:rsidP="00714BA6">
      <w:pPr>
        <w:rPr>
          <w:b/>
          <w:color w:val="4F81BD" w:themeColor="accent1"/>
        </w:rPr>
      </w:pPr>
      <w:r w:rsidRPr="00745798">
        <w:rPr>
          <w:b/>
          <w:color w:val="4F81BD" w:themeColor="accent1"/>
        </w:rPr>
        <w:t>Version étendue</w:t>
      </w:r>
    </w:p>
    <w:p w:rsidR="005A5EBD" w:rsidRPr="005A5EBD" w:rsidRDefault="005A5EBD" w:rsidP="005A5EBD">
      <w:pPr>
        <w:pStyle w:val="Code"/>
      </w:pPr>
      <w:r w:rsidRPr="005A5EBD">
        <w:rPr>
          <w:lang w:val="en-US"/>
        </w:rPr>
        <w:t xml:space="preserve">[DETWH DET]? ADJ? [NC NPP] [NC NPP]? [(ADV ADJ) ADJ (ADJ ADV)]? [(P DET?) P+D] ADJ? [NC NPP] [NC NPP]? </w:t>
      </w:r>
      <w:r w:rsidRPr="005A5EBD">
        <w:t>ADJ?</w:t>
      </w:r>
    </w:p>
    <w:p w:rsidR="005A5EBD" w:rsidRDefault="005A5EBD" w:rsidP="005A5EBD">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p>
    <w:p w:rsidR="005A5EBD" w:rsidRDefault="005A5EBD" w:rsidP="005A5EBD">
      <w:pPr>
        <w:pBdr>
          <w:bottom w:val="single" w:sz="4" w:space="1" w:color="4F81BD" w:themeColor="accent1"/>
        </w:pBdr>
      </w:pPr>
      <w:r>
        <w:tab/>
      </w:r>
      <w:r>
        <w:tab/>
      </w:r>
      <w:r>
        <w:tab/>
        <w:t>49.81% des titres de notre corpus (42 606 titres)</w:t>
      </w:r>
    </w:p>
    <w:p w:rsidR="00714BA6" w:rsidRDefault="00714BA6" w:rsidP="00F072D7">
      <w:pPr>
        <w:pStyle w:val="Titre2"/>
      </w:pPr>
      <w:bookmarkStart w:id="35" w:name="_Toc520022723"/>
      <w:r>
        <w:t>I</w:t>
      </w:r>
      <w:r w:rsidR="00F072D7">
        <w:t>V</w:t>
      </w:r>
      <w:r>
        <w:t>.</w:t>
      </w:r>
      <w:r w:rsidR="00F072D7">
        <w:t>2</w:t>
      </w:r>
      <w:r>
        <w:t xml:space="preserve"> Patron n°2 : syntagme prépositionnel</w:t>
      </w:r>
      <w:bookmarkEnd w:id="35"/>
    </w:p>
    <w:p w:rsidR="00F072D7" w:rsidRPr="00F072D7" w:rsidRDefault="00F072D7" w:rsidP="00F072D7">
      <w:pPr>
        <w:pStyle w:val="Titre3"/>
      </w:pPr>
      <w:bookmarkStart w:id="36" w:name="_Toc520022724"/>
      <w:r>
        <w:t>IV.2.A Fiche d’identité</w:t>
      </w:r>
      <w:bookmarkEnd w:id="36"/>
    </w:p>
    <w:p w:rsidR="001F32D6" w:rsidRDefault="001F32D6" w:rsidP="001F32D6">
      <w:pPr>
        <w:pBdr>
          <w:bottom w:val="single" w:sz="4" w:space="1" w:color="4F81BD" w:themeColor="accent1"/>
          <w:between w:val="single" w:sz="4" w:space="1" w:color="4F81BD" w:themeColor="accent1"/>
        </w:pBdr>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1F32D6" w:rsidRDefault="001F32D6" w:rsidP="001F32D6">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P NC</w:t>
      </w:r>
      <w:r w:rsidRPr="00714BA6">
        <w:rPr>
          <w:rStyle w:val="CodeCar"/>
          <w:bdr w:val="single" w:sz="4" w:space="0" w:color="4F81BD" w:themeColor="accent1"/>
        </w:rPr>
        <w:t xml:space="preserve"> P N</w:t>
      </w:r>
      <w:r>
        <w:rPr>
          <w:rStyle w:val="CodeCar"/>
          <w:bdr w:val="single" w:sz="4" w:space="0" w:color="4F81BD" w:themeColor="accent1"/>
        </w:rPr>
        <w:t>C</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lastRenderedPageBreak/>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1F32D6">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1F32D6" w:rsidRDefault="001F32D6" w:rsidP="001F32D6">
      <w:r w:rsidRPr="005A5EBD">
        <w:rPr>
          <w:b/>
          <w:color w:val="4F81BD" w:themeColor="accent1"/>
        </w:rPr>
        <w:t>Couverture du corpus</w:t>
      </w:r>
      <w:r>
        <w:tab/>
      </w:r>
      <w:r w:rsidRPr="001D79F0">
        <w:t>48.70%</w:t>
      </w:r>
      <w:r>
        <w:t xml:space="preserve"> des séquences de notre corpus (21 964 séquences)</w:t>
      </w:r>
    </w:p>
    <w:p w:rsidR="001F32D6" w:rsidRDefault="001F32D6" w:rsidP="00714BA6"/>
    <w:p w:rsidR="00714BA6" w:rsidRPr="00714BA6" w:rsidRDefault="00714BA6" w:rsidP="00714BA6">
      <w:r>
        <w:t xml:space="preserve">Description : il s’agit d’un syntagme prépositionnel incluant un syntagme nominal qui lui-même inclut un syntagme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4395"/>
        <w:gridCol w:w="1559"/>
        <w:gridCol w:w="1449"/>
      </w:tblGrid>
      <w:tr w:rsidR="00AA06C1" w:rsidTr="00714BA6">
        <w:tc>
          <w:tcPr>
            <w:tcW w:w="180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Patron minimal</w:t>
            </w:r>
          </w:p>
        </w:tc>
        <w:tc>
          <w:tcPr>
            <w:tcW w:w="4395"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Version étendue</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suites</w:t>
            </w:r>
          </w:p>
        </w:tc>
        <w:tc>
          <w:tcPr>
            <w:tcW w:w="144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Titres</w:t>
            </w:r>
          </w:p>
        </w:tc>
      </w:tr>
      <w:tr w:rsidR="00AA06C1" w:rsidRPr="00A079FF" w:rsidTr="00714BA6">
        <w:tc>
          <w:tcPr>
            <w:tcW w:w="1809" w:type="dxa"/>
            <w:tcBorders>
              <w:top w:val="single" w:sz="4" w:space="0" w:color="4F81BD" w:themeColor="accent1"/>
              <w:bottom w:val="single" w:sz="4" w:space="0" w:color="4F81BD" w:themeColor="accent1"/>
            </w:tcBorders>
          </w:tcPr>
          <w:p w:rsidR="00AA06C1" w:rsidRPr="00714BA6" w:rsidRDefault="00AA06C1" w:rsidP="00AA06C1">
            <w:pPr>
              <w:rPr>
                <w:rFonts w:ascii="Consolas" w:hAnsi="Consolas" w:cs="Consolas"/>
              </w:rPr>
            </w:pPr>
            <w:r w:rsidRPr="00714BA6">
              <w:rPr>
                <w:rFonts w:ascii="Consolas" w:hAnsi="Consolas" w:cs="Consolas"/>
              </w:rPr>
              <w:t>NC P NC</w:t>
            </w:r>
          </w:p>
        </w:tc>
        <w:tc>
          <w:tcPr>
            <w:tcW w:w="4395" w:type="dxa"/>
            <w:tcBorders>
              <w:top w:val="single" w:sz="4" w:space="0" w:color="4F81BD" w:themeColor="accent1"/>
              <w:bottom w:val="single" w:sz="4" w:space="0" w:color="4F81BD" w:themeColor="accent1"/>
            </w:tcBorders>
          </w:tcPr>
          <w:p w:rsidR="00AA06C1" w:rsidRPr="00A079FF" w:rsidRDefault="0089038F" w:rsidP="00AA06C1">
            <w:pPr>
              <w:rPr>
                <w:rFonts w:ascii="Consolas" w:hAnsi="Consolas" w:cs="Consolas"/>
                <w:lang w:val="en-US"/>
              </w:rPr>
            </w:pPr>
            <w:r w:rsidRPr="00944540">
              <w:rPr>
                <w:rFonts w:ascii="Consolas" w:hAnsi="Consolas" w:cs="Consolas"/>
                <w:lang w:val="en-US"/>
              </w:rPr>
              <w:t xml:space="preserve">DET? ADJ? [NC NPP] [NC NPP]? </w:t>
            </w:r>
            <w:r w:rsidRPr="00714BA6">
              <w:rPr>
                <w:rFonts w:ascii="Consolas" w:hAnsi="Consolas" w:cs="Consolas"/>
                <w:lang w:val="en-US"/>
              </w:rPr>
              <w:t xml:space="preserve">ADJ? [(P DET?) P+D] ADJ? </w:t>
            </w:r>
            <w:r w:rsidRPr="00A079FF">
              <w:rPr>
                <w:rFonts w:ascii="Consolas" w:hAnsi="Consolas" w:cs="Consolas"/>
                <w:lang w:val="en-US"/>
              </w:rPr>
              <w:t>[NC NPP] [NC NPP]? ADJ?</w:t>
            </w:r>
          </w:p>
        </w:tc>
        <w:tc>
          <w:tcPr>
            <w:tcW w:w="155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c>
          <w:tcPr>
            <w:tcW w:w="144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r>
      <w:tr w:rsidR="00714BA6" w:rsidTr="00714BA6">
        <w:tc>
          <w:tcPr>
            <w:tcW w:w="1809"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rPr>
            </w:pPr>
            <w:r>
              <w:rPr>
                <w:rFonts w:ascii="Consolas" w:hAnsi="Consolas" w:cs="Consolas"/>
              </w:rPr>
              <w:t>P NC P NC</w:t>
            </w:r>
          </w:p>
        </w:tc>
        <w:tc>
          <w:tcPr>
            <w:tcW w:w="4395"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bottom w:val="single" w:sz="4" w:space="0" w:color="4F81BD" w:themeColor="accent1"/>
            </w:tcBorders>
          </w:tcPr>
          <w:p w:rsidR="00714BA6" w:rsidRDefault="00714BA6" w:rsidP="00AA06C1"/>
        </w:tc>
        <w:tc>
          <w:tcPr>
            <w:tcW w:w="1449" w:type="dxa"/>
            <w:tcBorders>
              <w:top w:val="single" w:sz="4" w:space="0" w:color="4F81BD" w:themeColor="accent1"/>
              <w:bottom w:val="single" w:sz="4" w:space="0" w:color="4F81BD" w:themeColor="accent1"/>
            </w:tcBorders>
          </w:tcPr>
          <w:p w:rsidR="00714BA6" w:rsidRDefault="00714BA6" w:rsidP="00AA06C1"/>
        </w:tc>
      </w:tr>
      <w:tr w:rsidR="00714BA6" w:rsidTr="00714BA6">
        <w:tc>
          <w:tcPr>
            <w:tcW w:w="1809" w:type="dxa"/>
            <w:tcBorders>
              <w:top w:val="single" w:sz="4" w:space="0" w:color="4F81BD" w:themeColor="accent1"/>
            </w:tcBorders>
          </w:tcPr>
          <w:p w:rsidR="00714BA6" w:rsidRPr="00714BA6" w:rsidRDefault="00714BA6" w:rsidP="00AA06C1">
            <w:pPr>
              <w:rPr>
                <w:rFonts w:ascii="Consolas" w:hAnsi="Consolas" w:cs="Consolas"/>
              </w:rPr>
            </w:pPr>
          </w:p>
        </w:tc>
        <w:tc>
          <w:tcPr>
            <w:tcW w:w="4395" w:type="dxa"/>
            <w:tcBorders>
              <w:top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tcBorders>
          </w:tcPr>
          <w:p w:rsidR="00714BA6" w:rsidRDefault="00714BA6" w:rsidP="00AA06C1"/>
        </w:tc>
        <w:tc>
          <w:tcPr>
            <w:tcW w:w="1449" w:type="dxa"/>
            <w:tcBorders>
              <w:top w:val="single" w:sz="4" w:space="0" w:color="4F81BD" w:themeColor="accent1"/>
            </w:tcBorders>
          </w:tcPr>
          <w:p w:rsidR="00714BA6" w:rsidRDefault="00714BA6" w:rsidP="00AA06C1"/>
        </w:tc>
      </w:tr>
    </w:tbl>
    <w:p w:rsidR="00AA06C1" w:rsidRDefault="00AA06C1" w:rsidP="00AA06C1"/>
    <w:p w:rsidR="00AA06C1" w:rsidRDefault="00F072D7" w:rsidP="0060584A">
      <w:r>
        <w:t>PPP</w:t>
      </w:r>
      <w:r w:rsidR="00761325">
        <w:t xml:space="preserve"> TROIS PATRONS</w:t>
      </w:r>
    </w:p>
    <w:p w:rsidR="0075783E" w:rsidRDefault="0075783E" w:rsidP="00F072D7">
      <w:pPr>
        <w:pStyle w:val="Titre2"/>
      </w:pPr>
      <w:bookmarkStart w:id="37" w:name="_Toc520022725"/>
      <w:r w:rsidRPr="0075783E">
        <w:t>I</w:t>
      </w:r>
      <w:r w:rsidR="00F072D7">
        <w:t>V</w:t>
      </w:r>
      <w:r w:rsidRPr="0075783E">
        <w:t>.3 Patron n°3 : syn</w:t>
      </w:r>
      <w:r>
        <w:t>tagme verbal</w:t>
      </w:r>
      <w:bookmarkEnd w:id="37"/>
    </w:p>
    <w:p w:rsidR="00F072D7" w:rsidRPr="00F072D7" w:rsidRDefault="00F072D7" w:rsidP="00F072D7">
      <w:pPr>
        <w:pStyle w:val="Titre3"/>
      </w:pPr>
      <w:bookmarkStart w:id="38" w:name="_Toc520022726"/>
      <w:r>
        <w:t>IV.2.A Fiche d’identité</w:t>
      </w:r>
      <w:bookmarkEnd w:id="38"/>
    </w:p>
    <w:p w:rsidR="00F072D7" w:rsidRDefault="00F072D7" w:rsidP="00F072D7">
      <w:pPr>
        <w:pStyle w:val="Titre3"/>
      </w:pPr>
      <w:bookmarkStart w:id="39" w:name="_Toc520022727"/>
      <w:r>
        <w:t>IV.2.B Exemples</w:t>
      </w:r>
      <w:bookmarkEnd w:id="39"/>
    </w:p>
    <w:p w:rsidR="00F072D7" w:rsidRDefault="00F072D7" w:rsidP="00F072D7">
      <w:pPr>
        <w:pStyle w:val="Titre3"/>
      </w:pPr>
      <w:bookmarkStart w:id="40" w:name="_Toc520022728"/>
      <w:r>
        <w:t>IV.2.C Statistiques</w:t>
      </w:r>
      <w:bookmarkEnd w:id="40"/>
    </w:p>
    <w:p w:rsidR="00F072D7" w:rsidRPr="00223247" w:rsidRDefault="00F072D7" w:rsidP="00F072D7">
      <w:pPr>
        <w:spacing w:after="0"/>
        <w:jc w:val="left"/>
      </w:pPr>
      <w:r w:rsidRPr="00223247">
        <w:t>Couverture (d</w:t>
      </w:r>
      <w:r>
        <w:t>u corpus, du titre)</w:t>
      </w:r>
    </w:p>
    <w:p w:rsidR="00F072D7" w:rsidRPr="00F160DC" w:rsidRDefault="00F072D7" w:rsidP="00F072D7">
      <w:pPr>
        <w:spacing w:after="0"/>
        <w:jc w:val="left"/>
      </w:pPr>
      <w:r w:rsidRPr="00F160DC">
        <w:t>Fréquences</w:t>
      </w:r>
      <w:r>
        <w:t xml:space="preserve"> </w:t>
      </w:r>
    </w:p>
    <w:p w:rsidR="00F072D7" w:rsidRPr="00223247" w:rsidRDefault="00F072D7" w:rsidP="00F072D7">
      <w:pPr>
        <w:spacing w:after="0"/>
        <w:jc w:val="left"/>
      </w:pPr>
      <w:r w:rsidRPr="00223247">
        <w:t>Répartition par domaine</w:t>
      </w:r>
    </w:p>
    <w:p w:rsidR="00F072D7" w:rsidRPr="00F072D7" w:rsidRDefault="00F072D7" w:rsidP="00F072D7"/>
    <w:p w:rsidR="0075783E" w:rsidRDefault="0075783E" w:rsidP="0060584A">
      <w:r>
        <w:t>Les trois patrons minimaux que nous avons choisis sont dans le tableau ci-dessous ainsi que leurs versions étendues et leurs couvertures des suites et des titres.</w:t>
      </w:r>
    </w:p>
    <w:p w:rsidR="0057532E" w:rsidRDefault="0057532E" w:rsidP="005B6AB3">
      <w:r>
        <w:t>Syntagme nominal, prépositionnel et verbal</w:t>
      </w:r>
    </w:p>
    <w:p w:rsidR="002D1E3C" w:rsidRDefault="00B810E9" w:rsidP="00F569F7">
      <w:r>
        <w:t>Pas d’analyse syntaxique complète du titre</w:t>
      </w:r>
    </w:p>
    <w:p w:rsidR="005B6AB3" w:rsidRDefault="0057532E" w:rsidP="00F569F7">
      <w:r w:rsidRPr="00F569F7">
        <w:t xml:space="preserve">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197000" w:rsidRDefault="007E29FF" w:rsidP="00F569F7">
      <w:r>
        <w:tab/>
        <w:t>Le premier point fait que nous ne saurons pas si le syntagme nominal est le suje</w:t>
      </w:r>
      <w:r w:rsidR="0057532E">
        <w:t>t d’une phrase complète ou pas.</w:t>
      </w:r>
    </w:p>
    <w:p w:rsidR="00F569F7" w:rsidRPr="00F569F7" w:rsidRDefault="00F569F7" w:rsidP="00F569F7">
      <w:r w:rsidRPr="00F569F7">
        <w:t xml:space="preserve">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w:t>
      </w:r>
      <w:r w:rsidRPr="00F569F7">
        <w:lastRenderedPageBreak/>
        <w:t>syntagme nominal et ses membres. Éviter de faire toute l’analyse syntaxique du titre serait un grand avantage. Nous savons le caractère délimitant à gauche le syntagme nominal : un double point. Il nous faut à présent réfléchir à comment le délimiter sur la droite. Mais il serait plus intelligent de s’arrêter dès le noyau trouvé. Des sous-pa</w:t>
      </w:r>
      <w:r w:rsidR="00DD2AD4">
        <w:t>trons pourraient alors émerger.</w:t>
      </w:r>
    </w:p>
    <w:p w:rsidR="00632053" w:rsidRDefault="00632053" w:rsidP="00632053">
      <w:pPr>
        <w:pStyle w:val="Titre1"/>
      </w:pPr>
      <w:bookmarkStart w:id="41" w:name="_Toc520022729"/>
      <w:r w:rsidRPr="00632053">
        <w:t>V. Étude de structure</w:t>
      </w:r>
      <w:r w:rsidR="005A57E4">
        <w:t>s</w:t>
      </w:r>
      <w:r w:rsidRPr="00632053">
        <w:t xml:space="preserve"> particulière</w:t>
      </w:r>
      <w:r w:rsidR="005A57E4">
        <w:t>s</w:t>
      </w:r>
      <w:bookmarkEnd w:id="41"/>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42" w:name="_Toc520022730"/>
      <w:r>
        <w:t>V</w:t>
      </w:r>
      <w:r w:rsidR="00632053">
        <w:t>I</w:t>
      </w:r>
      <w:r>
        <w:t>. Résultats et discussions</w:t>
      </w:r>
      <w:bookmarkEnd w:id="42"/>
    </w:p>
    <w:p w:rsidR="000160A7" w:rsidRDefault="000160A7" w:rsidP="000160A7">
      <w:r>
        <w:t>PPP RESULTATS</w:t>
      </w:r>
    </w:p>
    <w:p w:rsidR="00632053" w:rsidRDefault="00632053" w:rsidP="00632053">
      <w:pPr>
        <w:pStyle w:val="Titre2"/>
      </w:pPr>
      <w:bookmarkStart w:id="43" w:name="_Toc520022731"/>
      <w:r>
        <w:t>VI.1 Résultats</w:t>
      </w:r>
      <w:bookmarkEnd w:id="43"/>
    </w:p>
    <w:p w:rsidR="007448C4" w:rsidRDefault="00632053" w:rsidP="00632053">
      <w:pPr>
        <w:pStyle w:val="Titre2"/>
      </w:pPr>
      <w:bookmarkStart w:id="44" w:name="_Toc520022732"/>
      <w:r>
        <w:t>VI</w:t>
      </w:r>
      <w:r w:rsidR="007448C4">
        <w:t>.</w:t>
      </w:r>
      <w:r>
        <w:t>2</w:t>
      </w:r>
      <w:r w:rsidR="007448C4">
        <w:t xml:space="preserve"> Discussions</w:t>
      </w:r>
      <w:bookmarkEnd w:id="44"/>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r>
      <w:proofErr w:type="spellStart"/>
      <w:r>
        <w:t>Talismane</w:t>
      </w:r>
      <w:proofErr w:type="spellEnd"/>
      <w:r>
        <w:t>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45" w:name="_Toc520022733"/>
      <w:r>
        <w:lastRenderedPageBreak/>
        <w:t>Conclusion</w:t>
      </w:r>
      <w:bookmarkEnd w:id="45"/>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46" w:name="_Toc520022734"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EndPr/>
      <w:sdtContent>
        <w:p w:rsidR="00496CC4" w:rsidRPr="00944540" w:rsidRDefault="00496CC4">
          <w:pPr>
            <w:pStyle w:val="Titre1"/>
          </w:pPr>
          <w:r w:rsidRPr="00944540">
            <w:t>Bibliographie</w:t>
          </w:r>
          <w:bookmarkEnd w:id="46"/>
        </w:p>
        <w:sdt>
          <w:sdtPr>
            <w:id w:val="111145805"/>
            <w:bibliography/>
          </w:sdtPr>
          <w:sdtEndPr/>
          <w:sdtContent>
            <w:p w:rsidR="00005DE4" w:rsidRPr="00005DE4" w:rsidRDefault="00496CC4" w:rsidP="00005DE4">
              <w:pPr>
                <w:pStyle w:val="Bibliographie"/>
                <w:ind w:left="720" w:hanging="720"/>
                <w:rPr>
                  <w:noProof/>
                  <w:sz w:val="24"/>
                  <w:szCs w:val="24"/>
                  <w:lang w:val="en-US"/>
                </w:rPr>
              </w:pPr>
              <w:r>
                <w:fldChar w:fldCharType="begin"/>
              </w:r>
              <w:r w:rsidRPr="00913C83">
                <w:instrText>BIBLIOGRAPHY</w:instrText>
              </w:r>
              <w:r>
                <w:fldChar w:fldCharType="separate"/>
              </w:r>
              <w:r w:rsidR="00005DE4">
                <w:rPr>
                  <w:noProof/>
                </w:rPr>
                <w:t xml:space="preserve">Aleixandre-Benavent, R., Montalt-Resurecció, V., &amp; Valderrama-Zurián, J. (2014). </w:t>
              </w:r>
              <w:r w:rsidR="00005DE4" w:rsidRPr="00005DE4">
                <w:rPr>
                  <w:noProof/>
                  <w:lang w:val="en-US"/>
                </w:rPr>
                <w:t xml:space="preserve">A descriptive study of inaccuracy in article titles on bibliometrics published in biomedical journals. </w:t>
              </w:r>
              <w:r w:rsidR="00005DE4" w:rsidRPr="00005DE4">
                <w:rPr>
                  <w:i/>
                  <w:iCs/>
                  <w:noProof/>
                  <w:lang w:val="en-US"/>
                </w:rPr>
                <w:t>Scientometrics, 101(1)</w:t>
              </w:r>
              <w:r w:rsidR="00005DE4" w:rsidRPr="00005DE4">
                <w:rPr>
                  <w:noProof/>
                  <w:lang w:val="en-US"/>
                </w:rPr>
                <w:t>, 781-791.</w:t>
              </w:r>
            </w:p>
            <w:p w:rsidR="00005DE4" w:rsidRDefault="00005DE4" w:rsidP="00005DE4">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IETF Tools: https://tools.ietf.org/html/rfc8259</w:t>
              </w:r>
            </w:p>
            <w:p w:rsidR="00005DE4" w:rsidRPr="00005DE4" w:rsidRDefault="00005DE4" w:rsidP="00005DE4">
              <w:pPr>
                <w:pStyle w:val="Bibliographie"/>
                <w:ind w:left="720" w:hanging="720"/>
                <w:rPr>
                  <w:noProof/>
                  <w:lang w:val="en-US"/>
                </w:rPr>
              </w:pPr>
              <w:r>
                <w:rPr>
                  <w:noProof/>
                </w:rPr>
                <w:t xml:space="preserve">Cori, M., &amp; David, S. (2008). Les corpus fondent-ils une nouvelle linguistique ? </w:t>
              </w:r>
              <w:r w:rsidRPr="00005DE4">
                <w:rPr>
                  <w:i/>
                  <w:iCs/>
                  <w:noProof/>
                  <w:lang w:val="en-US"/>
                </w:rPr>
                <w:t>Langages, (3)</w:t>
              </w:r>
              <w:r w:rsidRPr="00005DE4">
                <w:rPr>
                  <w:noProof/>
                  <w:lang w:val="en-US"/>
                </w:rPr>
                <w:t>, 111-129.</w:t>
              </w:r>
            </w:p>
            <w:p w:rsidR="00005DE4" w:rsidRPr="00005DE4" w:rsidRDefault="00005DE4" w:rsidP="00005DE4">
              <w:pPr>
                <w:pStyle w:val="Bibliographie"/>
                <w:ind w:left="720" w:hanging="720"/>
                <w:rPr>
                  <w:noProof/>
                  <w:lang w:val="en-US"/>
                </w:rPr>
              </w:pPr>
              <w:r w:rsidRPr="00005DE4">
                <w:rPr>
                  <w:noProof/>
                  <w:lang w:val="en-US"/>
                </w:rPr>
                <w:t xml:space="preserve">Dillon, J. (1981). The emergence of the colon: an empirical correlate of scholarship. </w:t>
              </w:r>
              <w:r w:rsidRPr="00005DE4">
                <w:rPr>
                  <w:i/>
                  <w:iCs/>
                  <w:noProof/>
                  <w:lang w:val="en-US"/>
                </w:rPr>
                <w:t>American Psychologist, 36</w:t>
              </w:r>
              <w:r w:rsidRPr="00005DE4">
                <w:rPr>
                  <w:noProof/>
                  <w:lang w:val="en-US"/>
                </w:rPr>
                <w:t>, 879-884.</w:t>
              </w:r>
            </w:p>
            <w:p w:rsidR="00005DE4" w:rsidRDefault="00005DE4" w:rsidP="00005DE4">
              <w:pPr>
                <w:pStyle w:val="Bibliographie"/>
                <w:ind w:left="720" w:hanging="720"/>
                <w:rPr>
                  <w:noProof/>
                </w:rPr>
              </w:pPr>
              <w:r w:rsidRPr="00005DE4">
                <w:rPr>
                  <w:noProof/>
                  <w:lang w:val="en-US"/>
                </w:rPr>
                <w:t xml:space="preserve">Dillon, J. T. (1982). In Pursuit of the Colon, A Century of Scholarly Progress: 1880–1980. </w:t>
              </w:r>
              <w:r>
                <w:rPr>
                  <w:i/>
                  <w:iCs/>
                  <w:noProof/>
                </w:rPr>
                <w:t>The Journal of Higher Education 53 (1)</w:t>
              </w:r>
              <w:r>
                <w:rPr>
                  <w:noProof/>
                </w:rPr>
                <w:t>.</w:t>
              </w:r>
            </w:p>
            <w:p w:rsidR="00005DE4" w:rsidRPr="00CF0243" w:rsidRDefault="00005DE4" w:rsidP="00005DE4">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F0243">
                <w:rPr>
                  <w:noProof/>
                  <w:lang w:val="en-US"/>
                </w:rPr>
                <w:t>Duculot.</w:t>
              </w:r>
            </w:p>
            <w:p w:rsidR="00005DE4" w:rsidRPr="00CF0243" w:rsidRDefault="00005DE4" w:rsidP="00005DE4">
              <w:pPr>
                <w:pStyle w:val="Bibliographie"/>
                <w:ind w:left="720" w:hanging="720"/>
                <w:rPr>
                  <w:noProof/>
                  <w:lang w:val="en-US"/>
                </w:rPr>
              </w:pPr>
              <w:r w:rsidRPr="00CF0243">
                <w:rPr>
                  <w:noProof/>
                  <w:lang w:val="en-US"/>
                </w:rPr>
                <w:t xml:space="preserve">Gilquin, G., &amp; Gries, S. T. (2009). </w:t>
              </w:r>
              <w:r w:rsidRPr="00005DE4">
                <w:rPr>
                  <w:noProof/>
                  <w:lang w:val="en-US"/>
                </w:rPr>
                <w:t xml:space="preserve">Corpora and experimental methods: A state-of-the-art review. </w:t>
              </w:r>
              <w:r w:rsidRPr="00CF0243">
                <w:rPr>
                  <w:i/>
                  <w:iCs/>
                  <w:noProof/>
                  <w:lang w:val="en-US"/>
                </w:rPr>
                <w:t>Corpus Linguistics and Linguistic Theory, 5(1)</w:t>
              </w:r>
              <w:r w:rsidRPr="00CF0243">
                <w:rPr>
                  <w:noProof/>
                  <w:lang w:val="en-US"/>
                </w:rPr>
                <w:t>, 1-26.</w:t>
              </w:r>
            </w:p>
            <w:p w:rsidR="00005DE4" w:rsidRDefault="00005DE4" w:rsidP="00005DE4">
              <w:pPr>
                <w:pStyle w:val="Bibliographie"/>
                <w:ind w:left="720" w:hanging="720"/>
                <w:rPr>
                  <w:noProof/>
                </w:rPr>
              </w:pPr>
              <w:r w:rsidRPr="00005DE4">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005DE4" w:rsidRPr="00005DE4" w:rsidRDefault="00005DE4" w:rsidP="00005DE4">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005DE4">
                <w:rPr>
                  <w:noProof/>
                  <w:lang w:val="en-US"/>
                </w:rPr>
                <w:t>Duculot.</w:t>
              </w:r>
            </w:p>
            <w:p w:rsidR="00005DE4" w:rsidRPr="00005DE4" w:rsidRDefault="00005DE4" w:rsidP="00005DE4">
              <w:pPr>
                <w:pStyle w:val="Bibliographie"/>
                <w:ind w:left="720" w:hanging="720"/>
                <w:rPr>
                  <w:noProof/>
                  <w:lang w:val="en-US"/>
                </w:rPr>
              </w:pPr>
              <w:r w:rsidRPr="00005DE4">
                <w:rPr>
                  <w:noProof/>
                  <w:lang w:val="en-US"/>
                </w:rPr>
                <w:t xml:space="preserve">Haggan, M. (2004). Research paper titles in literature, linguistics and science: dimensions of attraction. </w:t>
              </w:r>
              <w:r w:rsidRPr="00005DE4">
                <w:rPr>
                  <w:i/>
                  <w:iCs/>
                  <w:noProof/>
                  <w:lang w:val="en-US"/>
                </w:rPr>
                <w:t>Journal of Pragmatics, 2.36</w:t>
              </w:r>
              <w:r w:rsidRPr="00005DE4">
                <w:rPr>
                  <w:noProof/>
                  <w:lang w:val="en-US"/>
                </w:rPr>
                <w:t>, 293-317.</w:t>
              </w:r>
            </w:p>
            <w:p w:rsidR="00005DE4" w:rsidRPr="00005DE4" w:rsidRDefault="00005DE4" w:rsidP="00005DE4">
              <w:pPr>
                <w:pStyle w:val="Bibliographie"/>
                <w:ind w:left="720" w:hanging="720"/>
                <w:rPr>
                  <w:noProof/>
                  <w:lang w:val="en-US"/>
                </w:rPr>
              </w:pPr>
              <w:r w:rsidRPr="00005DE4">
                <w:rPr>
                  <w:noProof/>
                  <w:lang w:val="en-US"/>
                </w:rPr>
                <w:t xml:space="preserve">Hartley, J. (2003). Single authors are not alone: Colleagues often help. </w:t>
              </w:r>
              <w:r w:rsidRPr="00005DE4">
                <w:rPr>
                  <w:i/>
                  <w:iCs/>
                  <w:noProof/>
                  <w:lang w:val="en-US"/>
                </w:rPr>
                <w:t>Journal of Scholarly Communication, 34 (2)</w:t>
              </w:r>
              <w:r w:rsidRPr="00005DE4">
                <w:rPr>
                  <w:noProof/>
                  <w:lang w:val="en-US"/>
                </w:rPr>
                <w:t>, 108-113.</w:t>
              </w:r>
            </w:p>
            <w:p w:rsidR="00005DE4" w:rsidRPr="00005DE4" w:rsidRDefault="00005DE4" w:rsidP="00005DE4">
              <w:pPr>
                <w:pStyle w:val="Bibliographie"/>
                <w:ind w:left="720" w:hanging="720"/>
                <w:rPr>
                  <w:noProof/>
                  <w:lang w:val="en-US"/>
                </w:rPr>
              </w:pPr>
              <w:r w:rsidRPr="00005DE4">
                <w:rPr>
                  <w:noProof/>
                  <w:lang w:val="en-US"/>
                </w:rPr>
                <w:t xml:space="preserve">Jamali, H. R., &amp; Nikzad, M. (2011). Article title type and its relation with the number of downloads and citations. </w:t>
              </w:r>
              <w:r w:rsidRPr="00005DE4">
                <w:rPr>
                  <w:i/>
                  <w:iCs/>
                  <w:noProof/>
                  <w:lang w:val="en-US"/>
                </w:rPr>
                <w:t>Scientometrics, 88(2)</w:t>
              </w:r>
              <w:r w:rsidRPr="00005DE4">
                <w:rPr>
                  <w:noProof/>
                  <w:lang w:val="en-US"/>
                </w:rPr>
                <w:t>, 653-661.</w:t>
              </w:r>
            </w:p>
            <w:p w:rsidR="00005DE4" w:rsidRPr="00005DE4" w:rsidRDefault="00005DE4" w:rsidP="00005DE4">
              <w:pPr>
                <w:pStyle w:val="Bibliographie"/>
                <w:ind w:left="720" w:hanging="720"/>
                <w:rPr>
                  <w:noProof/>
                  <w:lang w:val="en-US"/>
                </w:rPr>
              </w:pPr>
              <w:r w:rsidRPr="00005DE4">
                <w:rPr>
                  <w:noProof/>
                  <w:lang w:val="en-US"/>
                </w:rPr>
                <w:t xml:space="preserve">Leech, G. N. (2000). Grammars of spoken English: New outcomes of corpus-oriented research. </w:t>
              </w:r>
              <w:r w:rsidRPr="00005DE4">
                <w:rPr>
                  <w:i/>
                  <w:iCs/>
                  <w:noProof/>
                  <w:lang w:val="en-US"/>
                </w:rPr>
                <w:t>Language Learning 50 (4)</w:t>
              </w:r>
              <w:r w:rsidRPr="00005DE4">
                <w:rPr>
                  <w:noProof/>
                  <w:lang w:val="en-US"/>
                </w:rPr>
                <w:t>, 675-724.</w:t>
              </w:r>
            </w:p>
            <w:p w:rsidR="00005DE4" w:rsidRPr="00005DE4" w:rsidRDefault="00005DE4" w:rsidP="00005DE4">
              <w:pPr>
                <w:pStyle w:val="Bibliographie"/>
                <w:ind w:left="720" w:hanging="720"/>
                <w:rPr>
                  <w:noProof/>
                  <w:lang w:val="en-US"/>
                </w:rPr>
              </w:pPr>
              <w:r w:rsidRPr="00005DE4">
                <w:rPr>
                  <w:noProof/>
                  <w:lang w:val="en-US"/>
                </w:rPr>
                <w:t xml:space="preserve">Lester, J. (1993). </w:t>
              </w:r>
              <w:r w:rsidRPr="00005DE4">
                <w:rPr>
                  <w:i/>
                  <w:iCs/>
                  <w:noProof/>
                  <w:lang w:val="en-US"/>
                </w:rPr>
                <w:t>Writing Research Papers. A complete Guide.</w:t>
              </w:r>
              <w:r w:rsidRPr="00005DE4">
                <w:rPr>
                  <w:noProof/>
                  <w:lang w:val="en-US"/>
                </w:rPr>
                <w:t xml:space="preserve"> Harper Collins.</w:t>
              </w:r>
            </w:p>
            <w:p w:rsidR="00005DE4" w:rsidRPr="00005DE4" w:rsidRDefault="00005DE4" w:rsidP="00005DE4">
              <w:pPr>
                <w:pStyle w:val="Bibliographie"/>
                <w:ind w:left="720" w:hanging="720"/>
                <w:rPr>
                  <w:noProof/>
                  <w:lang w:val="en-US"/>
                </w:rPr>
              </w:pPr>
              <w:r w:rsidRPr="00005DE4">
                <w:rPr>
                  <w:noProof/>
                  <w:lang w:val="en-US"/>
                </w:rPr>
                <w:t xml:space="preserve">Lewison, G., &amp; Hartley, J. (2005). What's in a title? Numbers of words and the presence of colons. </w:t>
              </w:r>
              <w:r w:rsidRPr="00005DE4">
                <w:rPr>
                  <w:i/>
                  <w:iCs/>
                  <w:noProof/>
                  <w:lang w:val="en-US"/>
                </w:rPr>
                <w:t>Scientometrics, 63 (2)</w:t>
              </w:r>
              <w:r w:rsidRPr="00005DE4">
                <w:rPr>
                  <w:noProof/>
                  <w:lang w:val="en-US"/>
                </w:rPr>
                <w:t>, 341-356.</w:t>
              </w:r>
            </w:p>
            <w:p w:rsidR="00005DE4" w:rsidRDefault="00005DE4" w:rsidP="00005DE4">
              <w:pPr>
                <w:pStyle w:val="Bibliographie"/>
                <w:ind w:left="720" w:hanging="720"/>
                <w:rPr>
                  <w:noProof/>
                </w:rPr>
              </w:pPr>
              <w:r w:rsidRPr="00005DE4">
                <w:rPr>
                  <w:noProof/>
                  <w:lang w:val="en-US"/>
                </w:rPr>
                <w:t xml:space="preserve">Mabe, M. A., &amp; Amin, M. (2002). Dr. Jekyll and Dr. Hyde: Author-reader asymmetries in scholarly publishing. </w:t>
              </w:r>
              <w:r>
                <w:rPr>
                  <w:i/>
                  <w:iCs/>
                  <w:noProof/>
                </w:rPr>
                <w:t>Aslib Proceedings, 54 (3)</w:t>
              </w:r>
              <w:r>
                <w:rPr>
                  <w:noProof/>
                </w:rPr>
                <w:t>, 149-157.</w:t>
              </w:r>
            </w:p>
            <w:p w:rsidR="00005DE4" w:rsidRDefault="00005DE4" w:rsidP="00005DE4">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005DE4" w:rsidRPr="00CF0243" w:rsidRDefault="00005DE4" w:rsidP="00005DE4">
              <w:pPr>
                <w:pStyle w:val="Bibliographie"/>
                <w:ind w:left="720" w:hanging="720"/>
                <w:rPr>
                  <w:noProof/>
                  <w:lang w:val="en-US"/>
                </w:rPr>
              </w:pPr>
              <w:r>
                <w:rPr>
                  <w:noProof/>
                </w:rPr>
                <w:t xml:space="preserve">Martin, R. (2002). </w:t>
              </w:r>
              <w:r>
                <w:rPr>
                  <w:i/>
                  <w:iCs/>
                  <w:noProof/>
                </w:rPr>
                <w:t>Comprendre la linguistique, épistémologie élémentaire d'une discipline.</w:t>
              </w:r>
              <w:r>
                <w:rPr>
                  <w:noProof/>
                </w:rPr>
                <w:t xml:space="preserve"> </w:t>
              </w:r>
              <w:r w:rsidRPr="00CF0243">
                <w:rPr>
                  <w:noProof/>
                  <w:lang w:val="en-US"/>
                </w:rPr>
                <w:t>Paris: PUF.</w:t>
              </w:r>
            </w:p>
            <w:p w:rsidR="00005DE4" w:rsidRPr="00005DE4" w:rsidRDefault="00005DE4" w:rsidP="00005DE4">
              <w:pPr>
                <w:pStyle w:val="Bibliographie"/>
                <w:ind w:left="720" w:hanging="720"/>
                <w:rPr>
                  <w:noProof/>
                  <w:lang w:val="en-US"/>
                </w:rPr>
              </w:pPr>
              <w:r w:rsidRPr="00005DE4">
                <w:rPr>
                  <w:noProof/>
                  <w:lang w:val="en-US"/>
                </w:rPr>
                <w:lastRenderedPageBreak/>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Pr="00005DE4" w:rsidRDefault="00005DE4" w:rsidP="00005DE4">
              <w:pPr>
                <w:pStyle w:val="Bibliographie"/>
                <w:ind w:left="720" w:hanging="720"/>
                <w:rPr>
                  <w:noProof/>
                  <w:lang w:val="en-US"/>
                </w:rPr>
              </w:pPr>
              <w:r w:rsidRPr="00005DE4">
                <w:rPr>
                  <w:noProof/>
                  <w:lang w:val="en-US"/>
                </w:rPr>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Default="00005DE4" w:rsidP="00005DE4">
              <w:pPr>
                <w:pStyle w:val="Bibliographie"/>
                <w:ind w:left="720" w:hanging="720"/>
                <w:rPr>
                  <w:noProof/>
                </w:rPr>
              </w:pPr>
              <w:r w:rsidRPr="00005DE4">
                <w:rPr>
                  <w:noProof/>
                  <w:lang w:val="en-US"/>
                </w:rPr>
                <w:t xml:space="preserve">Neveu, F. (2017). </w:t>
              </w:r>
              <w:r w:rsidRPr="00005DE4">
                <w:rPr>
                  <w:i/>
                  <w:iCs/>
                  <w:noProof/>
                  <w:lang w:val="en-US"/>
                </w:rPr>
                <w:t>Lexique des notions linguistiques.</w:t>
              </w:r>
              <w:r w:rsidRPr="00005DE4">
                <w:rPr>
                  <w:noProof/>
                  <w:lang w:val="en-US"/>
                </w:rPr>
                <w:t xml:space="preserve"> </w:t>
              </w:r>
              <w:r>
                <w:rPr>
                  <w:noProof/>
                </w:rPr>
                <w:t>Armand Colin.</w:t>
              </w:r>
            </w:p>
            <w:p w:rsidR="00005DE4" w:rsidRDefault="00005DE4" w:rsidP="00005DE4">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005DE4" w:rsidRDefault="00005DE4" w:rsidP="00005DE4">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005DE4" w:rsidRPr="00005DE4" w:rsidRDefault="00005DE4" w:rsidP="00005DE4">
              <w:pPr>
                <w:pStyle w:val="Bibliographie"/>
                <w:ind w:left="720" w:hanging="720"/>
                <w:rPr>
                  <w:noProof/>
                  <w:lang w:val="en-US"/>
                </w:rPr>
              </w:pPr>
              <w:r>
                <w:rPr>
                  <w:noProof/>
                </w:rPr>
                <w:t xml:space="preserve">Rebeyrolle, J., Jacques, M.-P., &amp; Péry-Woodley, M.-P. (2009). Titres et intertitres dans l'organisation du discours. </w:t>
              </w:r>
              <w:r w:rsidRPr="00005DE4">
                <w:rPr>
                  <w:i/>
                  <w:iCs/>
                  <w:noProof/>
                  <w:lang w:val="en-US"/>
                </w:rPr>
                <w:t>Journal of French Language Studies, 19</w:t>
              </w:r>
              <w:r w:rsidRPr="00005DE4">
                <w:rPr>
                  <w:noProof/>
                  <w:lang w:val="en-US"/>
                </w:rPr>
                <w:t>, 269-290.</w:t>
              </w:r>
            </w:p>
            <w:p w:rsidR="00005DE4" w:rsidRPr="00005DE4" w:rsidRDefault="00005DE4" w:rsidP="00005DE4">
              <w:pPr>
                <w:pStyle w:val="Bibliographie"/>
                <w:ind w:left="720" w:hanging="720"/>
                <w:rPr>
                  <w:noProof/>
                  <w:lang w:val="en-US"/>
                </w:rPr>
              </w:pPr>
              <w:r w:rsidRPr="00005DE4">
                <w:rPr>
                  <w:noProof/>
                  <w:lang w:val="en-US"/>
                </w:rPr>
                <w:t xml:space="preserve">Sagot, B. (2010). The Lefff, a freely available and large-coverage morphological and syntactic lexicon for French. </w:t>
              </w:r>
              <w:r w:rsidRPr="00005DE4">
                <w:rPr>
                  <w:i/>
                  <w:iCs/>
                  <w:noProof/>
                  <w:lang w:val="en-US"/>
                </w:rPr>
                <w:t>7th international conference on Language Resources and Evaluation (LREC 2010).</w:t>
              </w:r>
              <w:r w:rsidRPr="00005DE4">
                <w:rPr>
                  <w:noProof/>
                  <w:lang w:val="en-US"/>
                </w:rPr>
                <w:t xml:space="preserve"> La Valette.</w:t>
              </w:r>
            </w:p>
            <w:p w:rsidR="00005DE4" w:rsidRPr="00005DE4" w:rsidRDefault="00005DE4" w:rsidP="00005DE4">
              <w:pPr>
                <w:pStyle w:val="Bibliographie"/>
                <w:ind w:left="720" w:hanging="720"/>
                <w:rPr>
                  <w:noProof/>
                  <w:lang w:val="en-US"/>
                </w:rPr>
              </w:pPr>
              <w:r w:rsidRPr="00005DE4">
                <w:rPr>
                  <w:noProof/>
                  <w:lang w:val="en-US"/>
                </w:rPr>
                <w:t xml:space="preserve">Schmid, H. (1994). Probabilistic part-of-speech tagging using decision trees. </w:t>
              </w:r>
              <w:r w:rsidRPr="00005DE4">
                <w:rPr>
                  <w:i/>
                  <w:iCs/>
                  <w:noProof/>
                  <w:lang w:val="en-US"/>
                </w:rPr>
                <w:t>New methods in language processing</w:t>
              </w:r>
              <w:r w:rsidRPr="00005DE4">
                <w:rPr>
                  <w:noProof/>
                  <w:lang w:val="en-US"/>
                </w:rPr>
                <w:t>, 154.</w:t>
              </w:r>
            </w:p>
            <w:p w:rsidR="00005DE4" w:rsidRPr="00005DE4" w:rsidRDefault="00005DE4" w:rsidP="00005DE4">
              <w:pPr>
                <w:pStyle w:val="Bibliographie"/>
                <w:ind w:left="720" w:hanging="720"/>
                <w:rPr>
                  <w:noProof/>
                  <w:lang w:val="en-US"/>
                </w:rPr>
              </w:pPr>
              <w:r w:rsidRPr="00005DE4">
                <w:rPr>
                  <w:noProof/>
                  <w:lang w:val="en-US"/>
                </w:rPr>
                <w:t xml:space="preserve">Smiley, D., Pugh, E., Parisa, K., &amp; Mitchell, M. (2015). </w:t>
              </w:r>
              <w:r w:rsidRPr="00005DE4">
                <w:rPr>
                  <w:i/>
                  <w:iCs/>
                  <w:noProof/>
                  <w:lang w:val="en-US"/>
                </w:rPr>
                <w:t>Apache Solr enterprise search server.</w:t>
              </w:r>
              <w:r w:rsidRPr="00005DE4">
                <w:rPr>
                  <w:noProof/>
                  <w:lang w:val="en-US"/>
                </w:rPr>
                <w:t xml:space="preserve"> Birmingham: Packt Publishing Ltd.</w:t>
              </w:r>
            </w:p>
            <w:p w:rsidR="00005DE4" w:rsidRPr="00005DE4" w:rsidRDefault="00005DE4" w:rsidP="00005DE4">
              <w:pPr>
                <w:pStyle w:val="Bibliographie"/>
                <w:ind w:left="720" w:hanging="720"/>
                <w:rPr>
                  <w:noProof/>
                  <w:lang w:val="en-US"/>
                </w:rPr>
              </w:pPr>
              <w:r w:rsidRPr="00005DE4">
                <w:rPr>
                  <w:noProof/>
                  <w:lang w:val="en-US"/>
                </w:rPr>
                <w:t xml:space="preserve">Soler, V. (2007). Writing titles in science: An exploratory study. </w:t>
              </w:r>
              <w:r w:rsidRPr="00005DE4">
                <w:rPr>
                  <w:i/>
                  <w:iCs/>
                  <w:noProof/>
                  <w:lang w:val="en-US"/>
                </w:rPr>
                <w:t>English for Specific Purposes, 26</w:t>
              </w:r>
              <w:r w:rsidRPr="00005DE4">
                <w:rPr>
                  <w:noProof/>
                  <w:lang w:val="en-US"/>
                </w:rPr>
                <w:t>, 90–102.</w:t>
              </w:r>
            </w:p>
            <w:p w:rsidR="00005DE4" w:rsidRPr="00005DE4" w:rsidRDefault="00005DE4" w:rsidP="00005DE4">
              <w:pPr>
                <w:pStyle w:val="Bibliographie"/>
                <w:ind w:left="720" w:hanging="720"/>
                <w:rPr>
                  <w:noProof/>
                  <w:lang w:val="en-US"/>
                </w:rPr>
              </w:pPr>
              <w:r w:rsidRPr="00005DE4">
                <w:rPr>
                  <w:noProof/>
                  <w:lang w:val="en-US"/>
                </w:rPr>
                <w:t xml:space="preserve">Swales, J. M. (1990). Genre Analysis. </w:t>
              </w:r>
              <w:r w:rsidRPr="00005DE4">
                <w:rPr>
                  <w:i/>
                  <w:iCs/>
                  <w:noProof/>
                  <w:lang w:val="en-US"/>
                </w:rPr>
                <w:t>English in Academic and Research Settings</w:t>
              </w:r>
              <w:r w:rsidRPr="00005DE4">
                <w:rPr>
                  <w:noProof/>
                  <w:lang w:val="en-US"/>
                </w:rPr>
                <w:t>.</w:t>
              </w:r>
            </w:p>
            <w:p w:rsidR="00005DE4" w:rsidRDefault="00005DE4" w:rsidP="00005DE4">
              <w:pPr>
                <w:pStyle w:val="Bibliographie"/>
                <w:ind w:left="720" w:hanging="720"/>
                <w:rPr>
                  <w:noProof/>
                </w:rPr>
              </w:pPr>
              <w:r w:rsidRPr="00005DE4">
                <w:rPr>
                  <w:noProof/>
                  <w:lang w:val="en-US"/>
                </w:rPr>
                <w:t xml:space="preserve">Urieli, A. (2013). </w:t>
              </w:r>
              <w:r w:rsidRPr="00005DE4">
                <w:rPr>
                  <w:i/>
                  <w:iCs/>
                  <w:noProof/>
                  <w:lang w:val="en-US"/>
                </w:rPr>
                <w:t>Robust French syntax analysis: reconciling statistical methods and linguistic knowledge in the Talismane toolkit.</w:t>
              </w:r>
              <w:r w:rsidRPr="00005DE4">
                <w:rPr>
                  <w:noProof/>
                  <w:lang w:val="en-US"/>
                </w:rPr>
                <w:t xml:space="preserve"> </w:t>
              </w:r>
              <w:r>
                <w:rPr>
                  <w:noProof/>
                </w:rPr>
                <w:t>Toulouse: Doctoral dissertation, Université de Toulouse II-Le Mirail.</w:t>
              </w:r>
            </w:p>
            <w:p w:rsidR="00005DE4" w:rsidRDefault="00005DE4" w:rsidP="00005DE4">
              <w:pPr>
                <w:pStyle w:val="Bibliographie"/>
                <w:ind w:left="720" w:hanging="720"/>
                <w:rPr>
                  <w:noProof/>
                </w:rPr>
              </w:pPr>
              <w:r>
                <w:rPr>
                  <w:noProof/>
                </w:rPr>
                <w:t xml:space="preserve">Whissell, C. (2004). </w:t>
              </w:r>
              <w:r w:rsidRPr="00005DE4">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005DE4">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47" w:name="_Toc520022735"/>
      <w:r>
        <w:lastRenderedPageBreak/>
        <w:t>Annexes</w:t>
      </w:r>
      <w:bookmarkEnd w:id="47"/>
    </w:p>
    <w:p w:rsidR="00447F0A" w:rsidRDefault="00447F0A" w:rsidP="00447F0A">
      <w:pPr>
        <w:pStyle w:val="Titre2"/>
      </w:pPr>
      <w:bookmarkStart w:id="48" w:name="_A1._Requêtes_Apache"/>
      <w:bookmarkStart w:id="49" w:name="_Toc520022736"/>
      <w:bookmarkEnd w:id="48"/>
      <w:r>
        <w:t xml:space="preserve">A1. Requêtes Apache </w:t>
      </w:r>
      <w:proofErr w:type="spellStart"/>
      <w:r>
        <w:t>Solr</w:t>
      </w:r>
      <w:proofErr w:type="spellEnd"/>
      <w:r>
        <w:t xml:space="preserve"> sur HAL</w:t>
      </w:r>
      <w:bookmarkEnd w:id="49"/>
    </w:p>
    <w:p w:rsidR="00285755" w:rsidRPr="00285755" w:rsidRDefault="00285755" w:rsidP="00285755">
      <w:pPr>
        <w:pStyle w:val="Titre3"/>
      </w:pPr>
      <w:bookmarkStart w:id="50" w:name="_Toc520022737"/>
      <w:r>
        <w:t>A1.A Requêtes</w:t>
      </w:r>
      <w:bookmarkEnd w:id="50"/>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1"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5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2"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52"/>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53" w:name="_Toc504428861"/>
      <w:bookmarkStart w:id="54" w:name="_Toc520022738"/>
      <w:r>
        <w:rPr>
          <w:rFonts w:eastAsia="Times New Roman"/>
        </w:rPr>
        <w:t>A1.B</w:t>
      </w:r>
      <w:r w:rsidRPr="00285755">
        <w:rPr>
          <w:rFonts w:eastAsia="Times New Roman"/>
        </w:rPr>
        <w:t xml:space="preserve"> Résultats</w:t>
      </w:r>
      <w:bookmarkEnd w:id="53"/>
      <w:bookmarkEnd w:id="5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docid</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domain_s</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5" w:name="_Toc504428839"/>
      <w:bookmarkStart w:id="56" w:name="_Ref5200484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55"/>
      <w:bookmarkEnd w:id="56"/>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 xml:space="preserve">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7" w:name="_Toc504428840"/>
      <w:bookmarkStart w:id="58" w:name="_Ref52004859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57"/>
      <w:bookmarkEnd w:id="58"/>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bookmarkStart w:id="59" w:name="_Toc520022739"/>
      <w:r>
        <w:br w:type="page"/>
      </w:r>
    </w:p>
    <w:p w:rsidR="00447F0A" w:rsidRDefault="00123170" w:rsidP="004E6AB3">
      <w:pPr>
        <w:pStyle w:val="Titre2"/>
      </w:pPr>
      <w:r>
        <w:lastRenderedPageBreak/>
        <w:t>A</w:t>
      </w:r>
      <w:r w:rsidR="00113C68">
        <w:t>2</w:t>
      </w:r>
      <w:r w:rsidR="004E6AB3">
        <w:t>.</w:t>
      </w:r>
      <w:r>
        <w:t xml:space="preserve"> </w:t>
      </w:r>
      <w:r w:rsidR="004E6AB3">
        <w:t>Index des l</w:t>
      </w:r>
      <w:r>
        <w:t>ogiciels</w:t>
      </w:r>
      <w:r w:rsidR="004E6AB3">
        <w:t xml:space="preserve"> et technologies</w:t>
      </w:r>
      <w:r>
        <w:t xml:space="preserve"> mentionnés</w:t>
      </w:r>
      <w:bookmarkEnd w:id="59"/>
    </w:p>
    <w:p w:rsidR="00723562" w:rsidRDefault="004E6AB3" w:rsidP="007448C4">
      <w:pPr>
        <w:rPr>
          <w:noProof/>
        </w:rPr>
        <w:sectPr w:rsidR="00723562" w:rsidSect="00723562">
          <w:footerReference w:type="default" r:id="rId11"/>
          <w:footerReference w:type="first" r:id="rId12"/>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723562" w:rsidRDefault="00723562">
      <w:pPr>
        <w:pStyle w:val="Index1"/>
        <w:tabs>
          <w:tab w:val="right" w:leader="dot" w:pos="4166"/>
        </w:tabs>
        <w:rPr>
          <w:noProof/>
        </w:rPr>
      </w:pPr>
      <w:r>
        <w:rPr>
          <w:noProof/>
        </w:rPr>
        <w:t>Apache Lucene</w:t>
      </w:r>
      <w:r>
        <w:rPr>
          <w:noProof/>
        </w:rPr>
        <w:tab/>
        <w:t>12</w:t>
      </w:r>
    </w:p>
    <w:p w:rsidR="00723562" w:rsidRDefault="00723562">
      <w:pPr>
        <w:pStyle w:val="Index1"/>
        <w:tabs>
          <w:tab w:val="right" w:leader="dot" w:pos="4166"/>
        </w:tabs>
        <w:rPr>
          <w:noProof/>
        </w:rPr>
      </w:pPr>
      <w:r>
        <w:rPr>
          <w:noProof/>
        </w:rPr>
        <w:t>Apache Solr</w:t>
      </w:r>
      <w:r>
        <w:rPr>
          <w:noProof/>
        </w:rPr>
        <w:tab/>
        <w:t>12</w:t>
      </w:r>
    </w:p>
    <w:p w:rsidR="00723562" w:rsidRDefault="00723562">
      <w:pPr>
        <w:pStyle w:val="Index1"/>
        <w:tabs>
          <w:tab w:val="right" w:leader="dot" w:pos="4166"/>
        </w:tabs>
        <w:rPr>
          <w:noProof/>
        </w:rPr>
      </w:pPr>
      <w:r>
        <w:rPr>
          <w:noProof/>
        </w:rPr>
        <w:t>CoNLL-U</w:t>
      </w:r>
      <w:r>
        <w:rPr>
          <w:noProof/>
        </w:rPr>
        <w:tab/>
        <w:t>13</w:t>
      </w:r>
    </w:p>
    <w:p w:rsidR="00723562" w:rsidRDefault="00723562">
      <w:pPr>
        <w:pStyle w:val="Index1"/>
        <w:tabs>
          <w:tab w:val="right" w:leader="dot" w:pos="4166"/>
        </w:tabs>
        <w:rPr>
          <w:noProof/>
        </w:rPr>
      </w:pPr>
      <w:r>
        <w:rPr>
          <w:noProof/>
        </w:rPr>
        <w:t>CSV</w:t>
      </w:r>
      <w:r>
        <w:rPr>
          <w:noProof/>
        </w:rPr>
        <w:tab/>
        <w:t>12</w:t>
      </w:r>
    </w:p>
    <w:p w:rsidR="00723562" w:rsidRDefault="00723562">
      <w:pPr>
        <w:pStyle w:val="Index1"/>
        <w:tabs>
          <w:tab w:val="right" w:leader="dot" w:pos="4166"/>
        </w:tabs>
        <w:rPr>
          <w:noProof/>
        </w:rPr>
      </w:pPr>
      <w:r w:rsidRPr="00723562">
        <w:rPr>
          <w:noProof/>
        </w:rPr>
        <w:t>Excel</w:t>
      </w:r>
      <w:r>
        <w:rPr>
          <w:noProof/>
        </w:rPr>
        <w:tab/>
        <w:t>6</w:t>
      </w:r>
    </w:p>
    <w:p w:rsidR="00723562" w:rsidRDefault="00723562">
      <w:pPr>
        <w:pStyle w:val="Index1"/>
        <w:tabs>
          <w:tab w:val="right" w:leader="dot" w:pos="4166"/>
        </w:tabs>
        <w:rPr>
          <w:noProof/>
        </w:rPr>
      </w:pPr>
      <w:r>
        <w:rPr>
          <w:noProof/>
        </w:rPr>
        <w:t>HTTP</w:t>
      </w:r>
      <w:r>
        <w:rPr>
          <w:noProof/>
        </w:rPr>
        <w:tab/>
        <w:t>12</w:t>
      </w:r>
    </w:p>
    <w:p w:rsidR="00723562" w:rsidRDefault="00723562">
      <w:pPr>
        <w:pStyle w:val="Index1"/>
        <w:tabs>
          <w:tab w:val="right" w:leader="dot" w:pos="4166"/>
        </w:tabs>
        <w:rPr>
          <w:noProof/>
        </w:rPr>
      </w:pPr>
      <w:r>
        <w:rPr>
          <w:noProof/>
        </w:rPr>
        <w:t>JSON</w:t>
      </w:r>
      <w:r>
        <w:rPr>
          <w:noProof/>
        </w:rPr>
        <w:tab/>
        <w:t>12</w:t>
      </w:r>
    </w:p>
    <w:p w:rsidR="00723562" w:rsidRDefault="00723562">
      <w:pPr>
        <w:pStyle w:val="Index1"/>
        <w:tabs>
          <w:tab w:val="right" w:leader="dot" w:pos="4166"/>
        </w:tabs>
        <w:rPr>
          <w:noProof/>
        </w:rPr>
      </w:pPr>
      <w:r>
        <w:rPr>
          <w:noProof/>
        </w:rPr>
        <w:t>langdetect</w:t>
      </w:r>
      <w:r>
        <w:rPr>
          <w:noProof/>
        </w:rPr>
        <w:tab/>
        <w:t>16</w:t>
      </w:r>
    </w:p>
    <w:p w:rsidR="00723562" w:rsidRDefault="00723562">
      <w:pPr>
        <w:pStyle w:val="Index1"/>
        <w:tabs>
          <w:tab w:val="right" w:leader="dot" w:pos="4166"/>
        </w:tabs>
        <w:rPr>
          <w:noProof/>
        </w:rPr>
      </w:pPr>
      <w:r>
        <w:rPr>
          <w:noProof/>
        </w:rPr>
        <w:t>Open Archives Initiative Protocol for Metadata Harvesting (OAI-PMH)</w:t>
      </w:r>
      <w:r>
        <w:rPr>
          <w:noProof/>
        </w:rPr>
        <w:tab/>
        <w:t>12</w:t>
      </w:r>
    </w:p>
    <w:p w:rsidR="00723562" w:rsidRDefault="00723562">
      <w:pPr>
        <w:pStyle w:val="Index1"/>
        <w:tabs>
          <w:tab w:val="right" w:leader="dot" w:pos="4166"/>
        </w:tabs>
        <w:rPr>
          <w:noProof/>
        </w:rPr>
      </w:pPr>
      <w:r>
        <w:rPr>
          <w:noProof/>
        </w:rPr>
        <w:t>protocole de transfert hypertexte</w:t>
      </w:r>
      <w:r>
        <w:rPr>
          <w:noProof/>
        </w:rPr>
        <w:tab/>
      </w:r>
      <w:r w:rsidRPr="00E93CDF">
        <w:rPr>
          <w:i/>
          <w:noProof/>
        </w:rPr>
        <w:t>HTTP</w:t>
      </w:r>
    </w:p>
    <w:p w:rsidR="00723562" w:rsidRDefault="00723562">
      <w:pPr>
        <w:pStyle w:val="Index1"/>
        <w:tabs>
          <w:tab w:val="right" w:leader="dot" w:pos="4166"/>
        </w:tabs>
        <w:rPr>
          <w:noProof/>
        </w:rPr>
      </w:pPr>
      <w:r>
        <w:rPr>
          <w:noProof/>
        </w:rPr>
        <w:t>Python</w:t>
      </w:r>
      <w:r>
        <w:rPr>
          <w:noProof/>
        </w:rPr>
        <w:tab/>
        <w:t>6</w:t>
      </w:r>
    </w:p>
    <w:p w:rsidR="00723562" w:rsidRDefault="00723562">
      <w:pPr>
        <w:pStyle w:val="Index1"/>
        <w:tabs>
          <w:tab w:val="right" w:leader="dot" w:pos="4166"/>
        </w:tabs>
        <w:rPr>
          <w:noProof/>
        </w:rPr>
      </w:pPr>
      <w:r>
        <w:rPr>
          <w:noProof/>
        </w:rPr>
        <w:t>Stanford Core Natural Language Processing</w:t>
      </w:r>
      <w:r>
        <w:rPr>
          <w:noProof/>
        </w:rPr>
        <w:tab/>
        <w:t>13</w:t>
      </w:r>
    </w:p>
    <w:p w:rsidR="00723562" w:rsidRDefault="00723562">
      <w:pPr>
        <w:pStyle w:val="Index1"/>
        <w:tabs>
          <w:tab w:val="right" w:leader="dot" w:pos="4166"/>
        </w:tabs>
        <w:rPr>
          <w:noProof/>
        </w:rPr>
      </w:pPr>
      <w:r>
        <w:rPr>
          <w:noProof/>
        </w:rPr>
        <w:t>Talismane</w:t>
      </w:r>
      <w:r>
        <w:rPr>
          <w:noProof/>
        </w:rPr>
        <w:tab/>
        <w:t>13</w:t>
      </w:r>
    </w:p>
    <w:p w:rsidR="00723562" w:rsidRDefault="00723562">
      <w:pPr>
        <w:pStyle w:val="Index1"/>
        <w:tabs>
          <w:tab w:val="right" w:leader="dot" w:pos="4166"/>
        </w:tabs>
        <w:rPr>
          <w:noProof/>
        </w:rPr>
      </w:pPr>
      <w:r>
        <w:rPr>
          <w:noProof/>
        </w:rPr>
        <w:t>XML</w:t>
      </w:r>
      <w:r>
        <w:rPr>
          <w:noProof/>
        </w:rPr>
        <w:tab/>
        <w:t>12</w:t>
      </w:r>
    </w:p>
    <w:p w:rsidR="00723562" w:rsidRDefault="00723562" w:rsidP="007448C4">
      <w:pPr>
        <w:rPr>
          <w:noProof/>
        </w:rPr>
        <w:sectPr w:rsidR="00723562" w:rsidSect="00723562">
          <w:type w:val="continuous"/>
          <w:pgSz w:w="11906" w:h="16838"/>
          <w:pgMar w:top="1417" w:right="1417" w:bottom="1417" w:left="1417" w:header="708" w:footer="708" w:gutter="0"/>
          <w:cols w:num="2" w:space="720"/>
          <w:titlePg/>
          <w:docGrid w:linePitch="360"/>
        </w:sectPr>
      </w:pPr>
    </w:p>
    <w:p w:rsidR="00756CB8" w:rsidRDefault="004E6AB3" w:rsidP="007448C4">
      <w:r>
        <w:fldChar w:fldCharType="end"/>
      </w:r>
    </w:p>
    <w:p w:rsidR="00123170" w:rsidRDefault="00756CB8" w:rsidP="00756CB8">
      <w:pPr>
        <w:pStyle w:val="Titre2"/>
      </w:pPr>
      <w:bookmarkStart w:id="60" w:name="_Toc520022740"/>
      <w:r>
        <w:t>A</w:t>
      </w:r>
      <w:r w:rsidR="00723562">
        <w:t>3</w:t>
      </w:r>
      <w:r>
        <w:t xml:space="preserve">. Codes des étiquettes de catégorie de discours de </w:t>
      </w:r>
      <w:proofErr w:type="spellStart"/>
      <w:r>
        <w:t>Talismane</w:t>
      </w:r>
      <w:bookmarkEnd w:id="60"/>
      <w:proofErr w:type="spellEnd"/>
    </w:p>
    <w:p w:rsidR="00723562" w:rsidRPr="00723562" w:rsidRDefault="00723562" w:rsidP="00723562">
      <w:r>
        <w:t xml:space="preserve">Ce tableau est issu de la documentation officielle de </w:t>
      </w:r>
      <w:proofErr w:type="spellStart"/>
      <w:r>
        <w:t>Talismane</w:t>
      </w:r>
      <w:proofErr w:type="spellEnd"/>
      <w:r>
        <w:t xml:space="preserve"> </w:t>
      </w:r>
      <w:sdt>
        <w:sdtPr>
          <w:id w:val="837274670"/>
          <w:citation/>
        </w:sdtPr>
        <w:sdtEnd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5"/>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CF0243"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CF0243"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rsidR="00F45638" w:rsidRPr="00935275" w:rsidRDefault="00F45638" w:rsidP="001F0E2C"/>
    <w:sectPr w:rsidR="00F45638" w:rsidRPr="00935275" w:rsidSect="0072356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DF1" w:rsidRDefault="003D6DF1" w:rsidP="00F10E54">
      <w:pPr>
        <w:spacing w:after="0" w:line="240" w:lineRule="auto"/>
      </w:pPr>
      <w:r>
        <w:separator/>
      </w:r>
    </w:p>
  </w:endnote>
  <w:endnote w:type="continuationSeparator" w:id="0">
    <w:p w:rsidR="003D6DF1" w:rsidRDefault="003D6DF1"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EndPr/>
    <w:sdtContent>
      <w:p w:rsidR="005C59CA" w:rsidRDefault="005C59CA">
        <w:pPr>
          <w:pStyle w:val="Pieddepage"/>
        </w:pPr>
        <w:r>
          <w:rPr>
            <w:noProof/>
            <w:lang w:eastAsia="fr-FR"/>
          </w:rPr>
          <mc:AlternateContent>
            <mc:Choice Requires="wpg">
              <w:drawing>
                <wp:anchor distT="0" distB="0" distL="114300" distR="114300" simplePos="0" relativeHeight="251658240"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59CA" w:rsidRDefault="005C59CA">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26" style="position:absolute;left:0;text-align:left;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5C59CA" w:rsidRDefault="005C59CA">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9CA" w:rsidRPr="00E32DE6" w:rsidRDefault="005C59CA"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DF1" w:rsidRDefault="003D6DF1" w:rsidP="00F10E54">
      <w:pPr>
        <w:spacing w:after="0" w:line="240" w:lineRule="auto"/>
      </w:pPr>
      <w:r>
        <w:separator/>
      </w:r>
    </w:p>
  </w:footnote>
  <w:footnote w:type="continuationSeparator" w:id="0">
    <w:p w:rsidR="003D6DF1" w:rsidRDefault="003D6DF1" w:rsidP="00F10E54">
      <w:pPr>
        <w:spacing w:after="0" w:line="240" w:lineRule="auto"/>
      </w:pPr>
      <w:r>
        <w:continuationSeparator/>
      </w:r>
    </w:p>
  </w:footnote>
  <w:footnote w:id="1">
    <w:p w:rsidR="005C59CA" w:rsidRDefault="005C59CA"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5C59CA" w:rsidRDefault="005C59CA">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5C59CA" w:rsidRDefault="005C59CA">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5C59CA" w:rsidRDefault="005C59CA"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5C59CA" w:rsidRDefault="005C59CA"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5C59CA" w:rsidRDefault="005C59CA">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5C59CA" w:rsidRDefault="005C59CA">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5C59CA" w:rsidRDefault="005C59CA">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5C59CA" w:rsidRDefault="005C59CA"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5C59CA" w:rsidRDefault="005C59CA">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5C59CA" w:rsidRDefault="005C59CA">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5C59CA" w:rsidRDefault="005C59CA" w:rsidP="007F391C">
      <w:pPr>
        <w:pStyle w:val="Notedebasdepage"/>
      </w:pPr>
      <w:r>
        <w:rPr>
          <w:rStyle w:val="Appelnotedebasdep"/>
        </w:rPr>
        <w:footnoteRef/>
      </w:r>
      <w:r>
        <w:t xml:space="preserve"> Les traductions et les valeurs ont été prises depuis cette page, consultée le 21 janvier 2018 : </w:t>
      </w:r>
      <w:hyperlink r:id="rId12" w:history="1">
        <w:r>
          <w:rPr>
            <w:rStyle w:val="Lienhypertexte"/>
          </w:rPr>
          <w:t>https://hal.archives-ouvertes.fr/browse/doctype</w:t>
        </w:r>
      </w:hyperlink>
      <w:r>
        <w:t xml:space="preserve"> Nous avons ajouté documents et notices pour faire un total.</w:t>
      </w:r>
    </w:p>
  </w:footnote>
  <w:footnote w:id="13">
    <w:p w:rsidR="005C59CA" w:rsidRDefault="005C59CA" w:rsidP="00F569F7">
      <w:pPr>
        <w:pStyle w:val="Notedebasdepage"/>
      </w:pPr>
      <w:r>
        <w:rPr>
          <w:rStyle w:val="Appelnotedebasdep"/>
        </w:rPr>
        <w:footnoteRef/>
      </w:r>
      <w:r>
        <w:t xml:space="preserve"> Les guillemets français « » </w:t>
      </w:r>
      <w:r>
        <w:t>présente</w:t>
      </w:r>
      <w:r w:rsidR="00CF0243">
        <w:t>nt</w:t>
      </w:r>
      <w:bookmarkStart w:id="19" w:name="_GoBack"/>
      <w:bookmarkEnd w:id="19"/>
      <w:r>
        <w:t xml:space="preserve"> l’avantage d’être différenciés entre l’ouvrant et le fermant. </w:t>
      </w:r>
      <w:r>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 w:id="14">
    <w:p w:rsidR="005C59CA" w:rsidRDefault="005C59CA">
      <w:pPr>
        <w:pStyle w:val="Notedebasdepage"/>
      </w:pPr>
      <w:r>
        <w:rPr>
          <w:rStyle w:val="Appelnotedebasdep"/>
        </w:rPr>
        <w:footnoteRef/>
      </w:r>
      <w:r>
        <w:t xml:space="preserve"> Nous utilisons dans ce document les étiquettes de </w:t>
      </w:r>
      <w:proofErr w:type="spellStart"/>
      <w:r>
        <w:t>Talismane</w:t>
      </w:r>
      <w:proofErr w:type="spellEnd"/>
      <w:r>
        <w:t xml:space="preserve"> pour les catégories. Celles utilisées ici sont DET pour déterminant, NC pour nom commun, P pour préposition. La liste complète est donnée en annexe.</w:t>
      </w:r>
    </w:p>
  </w:footnote>
  <w:footnote w:id="15">
    <w:p w:rsidR="00723562" w:rsidRDefault="00723562">
      <w:pPr>
        <w:pStyle w:val="Notedebasdepage"/>
      </w:pPr>
      <w:r>
        <w:rPr>
          <w:rStyle w:val="Appelnotedebasdep"/>
        </w:rPr>
        <w:footnoteRef/>
      </w:r>
      <w:r>
        <w:t xml:space="preserve"> Plus précisément ce tableau se trouve ici : </w:t>
      </w:r>
      <w:hyperlink r:id="rId13"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0"/>
  </w:num>
  <w:num w:numId="5">
    <w:abstractNumId w:val="15"/>
  </w:num>
  <w:num w:numId="6">
    <w:abstractNumId w:val="8"/>
  </w:num>
  <w:num w:numId="7">
    <w:abstractNumId w:val="12"/>
  </w:num>
  <w:num w:numId="8">
    <w:abstractNumId w:val="14"/>
  </w:num>
  <w:num w:numId="9">
    <w:abstractNumId w:val="2"/>
  </w:num>
  <w:num w:numId="10">
    <w:abstractNumId w:val="10"/>
  </w:num>
  <w:num w:numId="11">
    <w:abstractNumId w:val="7"/>
  </w:num>
  <w:num w:numId="12">
    <w:abstractNumId w:val="13"/>
  </w:num>
  <w:num w:numId="13">
    <w:abstractNumId w:val="4"/>
  </w:num>
  <w:num w:numId="14">
    <w:abstractNumId w:val="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60A7"/>
    <w:rsid w:val="00016841"/>
    <w:rsid w:val="00024049"/>
    <w:rsid w:val="00024408"/>
    <w:rsid w:val="00030D95"/>
    <w:rsid w:val="000350C1"/>
    <w:rsid w:val="0004062A"/>
    <w:rsid w:val="00044A39"/>
    <w:rsid w:val="00045677"/>
    <w:rsid w:val="00046102"/>
    <w:rsid w:val="00047A1E"/>
    <w:rsid w:val="000520B9"/>
    <w:rsid w:val="00054FCA"/>
    <w:rsid w:val="000561A1"/>
    <w:rsid w:val="00060A20"/>
    <w:rsid w:val="00071BD3"/>
    <w:rsid w:val="00074F6E"/>
    <w:rsid w:val="000763B6"/>
    <w:rsid w:val="00077152"/>
    <w:rsid w:val="000774E3"/>
    <w:rsid w:val="00077E1C"/>
    <w:rsid w:val="0008279A"/>
    <w:rsid w:val="000844C7"/>
    <w:rsid w:val="00084BFB"/>
    <w:rsid w:val="000907C3"/>
    <w:rsid w:val="000909FF"/>
    <w:rsid w:val="000912AF"/>
    <w:rsid w:val="00091A8F"/>
    <w:rsid w:val="00092A90"/>
    <w:rsid w:val="000936B3"/>
    <w:rsid w:val="00096E35"/>
    <w:rsid w:val="000A049C"/>
    <w:rsid w:val="000A1A7E"/>
    <w:rsid w:val="000A2841"/>
    <w:rsid w:val="000B01EA"/>
    <w:rsid w:val="000B24E2"/>
    <w:rsid w:val="000B32BC"/>
    <w:rsid w:val="000B34CD"/>
    <w:rsid w:val="000B4FEC"/>
    <w:rsid w:val="000B5FCF"/>
    <w:rsid w:val="000C1EE5"/>
    <w:rsid w:val="000C24BF"/>
    <w:rsid w:val="000C59E0"/>
    <w:rsid w:val="000C6F8F"/>
    <w:rsid w:val="000C7448"/>
    <w:rsid w:val="000D23A9"/>
    <w:rsid w:val="000E03FA"/>
    <w:rsid w:val="000E3B69"/>
    <w:rsid w:val="000F23D8"/>
    <w:rsid w:val="000F421B"/>
    <w:rsid w:val="000F54F0"/>
    <w:rsid w:val="000F5AC2"/>
    <w:rsid w:val="000F66BA"/>
    <w:rsid w:val="000F7296"/>
    <w:rsid w:val="000F7F79"/>
    <w:rsid w:val="0010386B"/>
    <w:rsid w:val="00104235"/>
    <w:rsid w:val="00104E25"/>
    <w:rsid w:val="0010575B"/>
    <w:rsid w:val="001103D2"/>
    <w:rsid w:val="00111540"/>
    <w:rsid w:val="001121BF"/>
    <w:rsid w:val="00112B6F"/>
    <w:rsid w:val="00112D52"/>
    <w:rsid w:val="001134D7"/>
    <w:rsid w:val="00113C68"/>
    <w:rsid w:val="0011451D"/>
    <w:rsid w:val="00115FF8"/>
    <w:rsid w:val="00116329"/>
    <w:rsid w:val="001216E8"/>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53C0"/>
    <w:rsid w:val="00167EF2"/>
    <w:rsid w:val="0017004E"/>
    <w:rsid w:val="00181572"/>
    <w:rsid w:val="00183926"/>
    <w:rsid w:val="00185054"/>
    <w:rsid w:val="0018682B"/>
    <w:rsid w:val="00193654"/>
    <w:rsid w:val="00197000"/>
    <w:rsid w:val="001A07E8"/>
    <w:rsid w:val="001A07F8"/>
    <w:rsid w:val="001B28E6"/>
    <w:rsid w:val="001B412F"/>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32D6"/>
    <w:rsid w:val="001F7F22"/>
    <w:rsid w:val="00200CDC"/>
    <w:rsid w:val="00202B1A"/>
    <w:rsid w:val="00204902"/>
    <w:rsid w:val="002055BA"/>
    <w:rsid w:val="00206150"/>
    <w:rsid w:val="0020637C"/>
    <w:rsid w:val="00206C24"/>
    <w:rsid w:val="0020771A"/>
    <w:rsid w:val="002105CE"/>
    <w:rsid w:val="0021364F"/>
    <w:rsid w:val="002140E5"/>
    <w:rsid w:val="002149E1"/>
    <w:rsid w:val="00214C61"/>
    <w:rsid w:val="00217948"/>
    <w:rsid w:val="00223247"/>
    <w:rsid w:val="0022370A"/>
    <w:rsid w:val="00227D3F"/>
    <w:rsid w:val="0023251A"/>
    <w:rsid w:val="002327C1"/>
    <w:rsid w:val="002328AC"/>
    <w:rsid w:val="002329FF"/>
    <w:rsid w:val="00240463"/>
    <w:rsid w:val="00240718"/>
    <w:rsid w:val="00240DEA"/>
    <w:rsid w:val="00242E7E"/>
    <w:rsid w:val="0024322C"/>
    <w:rsid w:val="002440AE"/>
    <w:rsid w:val="0024609A"/>
    <w:rsid w:val="0024720F"/>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1187"/>
    <w:rsid w:val="002A1979"/>
    <w:rsid w:val="002A1E4C"/>
    <w:rsid w:val="002A3366"/>
    <w:rsid w:val="002A3D75"/>
    <w:rsid w:val="002A5246"/>
    <w:rsid w:val="002A6EB3"/>
    <w:rsid w:val="002B00AE"/>
    <w:rsid w:val="002B1525"/>
    <w:rsid w:val="002B31BC"/>
    <w:rsid w:val="002B3C53"/>
    <w:rsid w:val="002B44D4"/>
    <w:rsid w:val="002B61B3"/>
    <w:rsid w:val="002C2734"/>
    <w:rsid w:val="002C4F26"/>
    <w:rsid w:val="002C7578"/>
    <w:rsid w:val="002D1E3C"/>
    <w:rsid w:val="002D2FA1"/>
    <w:rsid w:val="002D3E83"/>
    <w:rsid w:val="002D6A96"/>
    <w:rsid w:val="002E0ADC"/>
    <w:rsid w:val="002E26F7"/>
    <w:rsid w:val="002E358A"/>
    <w:rsid w:val="002E59F1"/>
    <w:rsid w:val="002E71A2"/>
    <w:rsid w:val="002E7F7E"/>
    <w:rsid w:val="002F0DE9"/>
    <w:rsid w:val="002F5840"/>
    <w:rsid w:val="002F5901"/>
    <w:rsid w:val="002F75FC"/>
    <w:rsid w:val="002F7CFC"/>
    <w:rsid w:val="00301343"/>
    <w:rsid w:val="003036EC"/>
    <w:rsid w:val="0030393E"/>
    <w:rsid w:val="00304403"/>
    <w:rsid w:val="003058DA"/>
    <w:rsid w:val="00306444"/>
    <w:rsid w:val="0031058D"/>
    <w:rsid w:val="00320AA0"/>
    <w:rsid w:val="00322E1F"/>
    <w:rsid w:val="003245BE"/>
    <w:rsid w:val="003262A9"/>
    <w:rsid w:val="00327D58"/>
    <w:rsid w:val="00332D47"/>
    <w:rsid w:val="00333501"/>
    <w:rsid w:val="0033424D"/>
    <w:rsid w:val="00335373"/>
    <w:rsid w:val="00336EE9"/>
    <w:rsid w:val="003435D1"/>
    <w:rsid w:val="0034395A"/>
    <w:rsid w:val="003444C4"/>
    <w:rsid w:val="00350F1D"/>
    <w:rsid w:val="00351843"/>
    <w:rsid w:val="00352433"/>
    <w:rsid w:val="00354015"/>
    <w:rsid w:val="003547D5"/>
    <w:rsid w:val="00354F7C"/>
    <w:rsid w:val="003552D8"/>
    <w:rsid w:val="003554E8"/>
    <w:rsid w:val="00361789"/>
    <w:rsid w:val="00362C61"/>
    <w:rsid w:val="00370A1A"/>
    <w:rsid w:val="00372531"/>
    <w:rsid w:val="00374A34"/>
    <w:rsid w:val="00375369"/>
    <w:rsid w:val="00376AB6"/>
    <w:rsid w:val="00381E86"/>
    <w:rsid w:val="003903DD"/>
    <w:rsid w:val="00390F47"/>
    <w:rsid w:val="003922DF"/>
    <w:rsid w:val="003949D0"/>
    <w:rsid w:val="00394EAA"/>
    <w:rsid w:val="003A0C24"/>
    <w:rsid w:val="003A63C2"/>
    <w:rsid w:val="003A6745"/>
    <w:rsid w:val="003B0B0C"/>
    <w:rsid w:val="003B137F"/>
    <w:rsid w:val="003B1A6A"/>
    <w:rsid w:val="003B364E"/>
    <w:rsid w:val="003C0DFA"/>
    <w:rsid w:val="003C192B"/>
    <w:rsid w:val="003C3245"/>
    <w:rsid w:val="003C3636"/>
    <w:rsid w:val="003C45FF"/>
    <w:rsid w:val="003C47FB"/>
    <w:rsid w:val="003C7FDB"/>
    <w:rsid w:val="003D1227"/>
    <w:rsid w:val="003D12FE"/>
    <w:rsid w:val="003D3B47"/>
    <w:rsid w:val="003D4D2A"/>
    <w:rsid w:val="003D4EF8"/>
    <w:rsid w:val="003D6DF1"/>
    <w:rsid w:val="003E19B5"/>
    <w:rsid w:val="003E2626"/>
    <w:rsid w:val="003E3B01"/>
    <w:rsid w:val="003E4127"/>
    <w:rsid w:val="003E484A"/>
    <w:rsid w:val="003F02B5"/>
    <w:rsid w:val="003F1C36"/>
    <w:rsid w:val="003F2556"/>
    <w:rsid w:val="003F2651"/>
    <w:rsid w:val="003F3958"/>
    <w:rsid w:val="003F7BB9"/>
    <w:rsid w:val="00400905"/>
    <w:rsid w:val="00400BA8"/>
    <w:rsid w:val="00400D91"/>
    <w:rsid w:val="00407E75"/>
    <w:rsid w:val="00410F9D"/>
    <w:rsid w:val="00411178"/>
    <w:rsid w:val="00411214"/>
    <w:rsid w:val="00411254"/>
    <w:rsid w:val="00411527"/>
    <w:rsid w:val="004130EE"/>
    <w:rsid w:val="00413430"/>
    <w:rsid w:val="004145BB"/>
    <w:rsid w:val="004153F8"/>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7B3F"/>
    <w:rsid w:val="004616D4"/>
    <w:rsid w:val="004617D8"/>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78DD"/>
    <w:rsid w:val="00492454"/>
    <w:rsid w:val="00492BD2"/>
    <w:rsid w:val="004934F2"/>
    <w:rsid w:val="00496CC4"/>
    <w:rsid w:val="00496EDF"/>
    <w:rsid w:val="00497363"/>
    <w:rsid w:val="00497566"/>
    <w:rsid w:val="00497CF9"/>
    <w:rsid w:val="004A063E"/>
    <w:rsid w:val="004A161A"/>
    <w:rsid w:val="004A3E2D"/>
    <w:rsid w:val="004A4A74"/>
    <w:rsid w:val="004A5570"/>
    <w:rsid w:val="004A6D08"/>
    <w:rsid w:val="004A77B5"/>
    <w:rsid w:val="004B1A82"/>
    <w:rsid w:val="004B722A"/>
    <w:rsid w:val="004C0788"/>
    <w:rsid w:val="004C0A14"/>
    <w:rsid w:val="004C2BE4"/>
    <w:rsid w:val="004C506D"/>
    <w:rsid w:val="004C7930"/>
    <w:rsid w:val="004C7AF5"/>
    <w:rsid w:val="004D32A7"/>
    <w:rsid w:val="004D5871"/>
    <w:rsid w:val="004D6F82"/>
    <w:rsid w:val="004D75C5"/>
    <w:rsid w:val="004D7B52"/>
    <w:rsid w:val="004E0786"/>
    <w:rsid w:val="004E6AB3"/>
    <w:rsid w:val="004E795A"/>
    <w:rsid w:val="004F0AF4"/>
    <w:rsid w:val="004F12B9"/>
    <w:rsid w:val="004F3EE1"/>
    <w:rsid w:val="004F51BA"/>
    <w:rsid w:val="004F546C"/>
    <w:rsid w:val="004F62B0"/>
    <w:rsid w:val="00503B34"/>
    <w:rsid w:val="005104F1"/>
    <w:rsid w:val="00512B78"/>
    <w:rsid w:val="00513FF2"/>
    <w:rsid w:val="00514FB1"/>
    <w:rsid w:val="00516111"/>
    <w:rsid w:val="00520511"/>
    <w:rsid w:val="005212C9"/>
    <w:rsid w:val="005234B3"/>
    <w:rsid w:val="005251BB"/>
    <w:rsid w:val="005269D8"/>
    <w:rsid w:val="00527839"/>
    <w:rsid w:val="005279F9"/>
    <w:rsid w:val="00527A1E"/>
    <w:rsid w:val="005348DE"/>
    <w:rsid w:val="00537014"/>
    <w:rsid w:val="00542F15"/>
    <w:rsid w:val="0054737D"/>
    <w:rsid w:val="00550972"/>
    <w:rsid w:val="00552DE0"/>
    <w:rsid w:val="005537D5"/>
    <w:rsid w:val="0055428F"/>
    <w:rsid w:val="00555ECE"/>
    <w:rsid w:val="0055638C"/>
    <w:rsid w:val="005622BF"/>
    <w:rsid w:val="00563121"/>
    <w:rsid w:val="00563B8A"/>
    <w:rsid w:val="005644A5"/>
    <w:rsid w:val="0056535A"/>
    <w:rsid w:val="00567D5D"/>
    <w:rsid w:val="00571965"/>
    <w:rsid w:val="00573DC2"/>
    <w:rsid w:val="0057532E"/>
    <w:rsid w:val="005771CF"/>
    <w:rsid w:val="00577EC9"/>
    <w:rsid w:val="00580145"/>
    <w:rsid w:val="00580171"/>
    <w:rsid w:val="00583449"/>
    <w:rsid w:val="00587039"/>
    <w:rsid w:val="00592472"/>
    <w:rsid w:val="005924D0"/>
    <w:rsid w:val="00592823"/>
    <w:rsid w:val="0059639C"/>
    <w:rsid w:val="00596EA6"/>
    <w:rsid w:val="005970AA"/>
    <w:rsid w:val="0059773A"/>
    <w:rsid w:val="005A298A"/>
    <w:rsid w:val="005A57E4"/>
    <w:rsid w:val="005A5EBD"/>
    <w:rsid w:val="005A6532"/>
    <w:rsid w:val="005A6CB1"/>
    <w:rsid w:val="005A7133"/>
    <w:rsid w:val="005B01A9"/>
    <w:rsid w:val="005B2BA9"/>
    <w:rsid w:val="005B60AE"/>
    <w:rsid w:val="005B6AB3"/>
    <w:rsid w:val="005C0476"/>
    <w:rsid w:val="005C0A84"/>
    <w:rsid w:val="005C0C31"/>
    <w:rsid w:val="005C0FDB"/>
    <w:rsid w:val="005C1851"/>
    <w:rsid w:val="005C2E14"/>
    <w:rsid w:val="005C3498"/>
    <w:rsid w:val="005C5442"/>
    <w:rsid w:val="005C59CA"/>
    <w:rsid w:val="005C74B9"/>
    <w:rsid w:val="005D0CA6"/>
    <w:rsid w:val="005D22D9"/>
    <w:rsid w:val="005D2DAB"/>
    <w:rsid w:val="005D4E86"/>
    <w:rsid w:val="005D6725"/>
    <w:rsid w:val="005D6F98"/>
    <w:rsid w:val="005E02B9"/>
    <w:rsid w:val="005E1414"/>
    <w:rsid w:val="005E350A"/>
    <w:rsid w:val="005E45DC"/>
    <w:rsid w:val="005E50C5"/>
    <w:rsid w:val="005E7401"/>
    <w:rsid w:val="005F111B"/>
    <w:rsid w:val="005F2889"/>
    <w:rsid w:val="005F4AFF"/>
    <w:rsid w:val="0060035E"/>
    <w:rsid w:val="00602754"/>
    <w:rsid w:val="00602F8D"/>
    <w:rsid w:val="0060584A"/>
    <w:rsid w:val="006058FB"/>
    <w:rsid w:val="006070C4"/>
    <w:rsid w:val="00610008"/>
    <w:rsid w:val="00610858"/>
    <w:rsid w:val="00612DE5"/>
    <w:rsid w:val="00615592"/>
    <w:rsid w:val="00615A8B"/>
    <w:rsid w:val="00615A98"/>
    <w:rsid w:val="006162A4"/>
    <w:rsid w:val="00621EE3"/>
    <w:rsid w:val="00622E74"/>
    <w:rsid w:val="00626153"/>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71AD"/>
    <w:rsid w:val="006713E9"/>
    <w:rsid w:val="006713F1"/>
    <w:rsid w:val="00673887"/>
    <w:rsid w:val="00676D78"/>
    <w:rsid w:val="00680BAF"/>
    <w:rsid w:val="00680EEF"/>
    <w:rsid w:val="00681532"/>
    <w:rsid w:val="006846E0"/>
    <w:rsid w:val="00685481"/>
    <w:rsid w:val="006856AD"/>
    <w:rsid w:val="00685AD0"/>
    <w:rsid w:val="0068634D"/>
    <w:rsid w:val="0068670B"/>
    <w:rsid w:val="0069299C"/>
    <w:rsid w:val="006A0145"/>
    <w:rsid w:val="006A173F"/>
    <w:rsid w:val="006A282A"/>
    <w:rsid w:val="006A5AFA"/>
    <w:rsid w:val="006A65E1"/>
    <w:rsid w:val="006A66DC"/>
    <w:rsid w:val="006A6A83"/>
    <w:rsid w:val="006A6D14"/>
    <w:rsid w:val="006A71C9"/>
    <w:rsid w:val="006B21F9"/>
    <w:rsid w:val="006B3960"/>
    <w:rsid w:val="006B793D"/>
    <w:rsid w:val="006C0355"/>
    <w:rsid w:val="006C118B"/>
    <w:rsid w:val="006C47B6"/>
    <w:rsid w:val="006C5770"/>
    <w:rsid w:val="006C581E"/>
    <w:rsid w:val="006D4829"/>
    <w:rsid w:val="006D5D50"/>
    <w:rsid w:val="006E0519"/>
    <w:rsid w:val="006E070C"/>
    <w:rsid w:val="006E3DE8"/>
    <w:rsid w:val="006E4E30"/>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54C6"/>
    <w:rsid w:val="0072625C"/>
    <w:rsid w:val="00727C21"/>
    <w:rsid w:val="00727E53"/>
    <w:rsid w:val="00730A20"/>
    <w:rsid w:val="007319D1"/>
    <w:rsid w:val="00731B19"/>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BF3"/>
    <w:rsid w:val="0077408D"/>
    <w:rsid w:val="00775158"/>
    <w:rsid w:val="00777294"/>
    <w:rsid w:val="00780E1C"/>
    <w:rsid w:val="0078113B"/>
    <w:rsid w:val="00784DBE"/>
    <w:rsid w:val="00785816"/>
    <w:rsid w:val="00785DD9"/>
    <w:rsid w:val="007866DB"/>
    <w:rsid w:val="00790C04"/>
    <w:rsid w:val="00792BF4"/>
    <w:rsid w:val="00796D39"/>
    <w:rsid w:val="00797B3D"/>
    <w:rsid w:val="007A22DC"/>
    <w:rsid w:val="007A231A"/>
    <w:rsid w:val="007B00CC"/>
    <w:rsid w:val="007B0555"/>
    <w:rsid w:val="007B0932"/>
    <w:rsid w:val="007B4D93"/>
    <w:rsid w:val="007C22BD"/>
    <w:rsid w:val="007C56FF"/>
    <w:rsid w:val="007C5DF9"/>
    <w:rsid w:val="007C640C"/>
    <w:rsid w:val="007D436F"/>
    <w:rsid w:val="007D4764"/>
    <w:rsid w:val="007D4A5C"/>
    <w:rsid w:val="007D6006"/>
    <w:rsid w:val="007D6D51"/>
    <w:rsid w:val="007D70FB"/>
    <w:rsid w:val="007D7699"/>
    <w:rsid w:val="007D7BDF"/>
    <w:rsid w:val="007E03D2"/>
    <w:rsid w:val="007E29FF"/>
    <w:rsid w:val="007F0171"/>
    <w:rsid w:val="007F1C29"/>
    <w:rsid w:val="007F1CAE"/>
    <w:rsid w:val="007F241C"/>
    <w:rsid w:val="007F391C"/>
    <w:rsid w:val="007F50B4"/>
    <w:rsid w:val="007F5D0B"/>
    <w:rsid w:val="007F6C36"/>
    <w:rsid w:val="00803DEA"/>
    <w:rsid w:val="008042C9"/>
    <w:rsid w:val="00811D79"/>
    <w:rsid w:val="00812473"/>
    <w:rsid w:val="00814469"/>
    <w:rsid w:val="00815514"/>
    <w:rsid w:val="008174E9"/>
    <w:rsid w:val="00817BC0"/>
    <w:rsid w:val="0082357C"/>
    <w:rsid w:val="00825185"/>
    <w:rsid w:val="008253FC"/>
    <w:rsid w:val="008322CA"/>
    <w:rsid w:val="0083350A"/>
    <w:rsid w:val="0083366B"/>
    <w:rsid w:val="00840142"/>
    <w:rsid w:val="00841C0E"/>
    <w:rsid w:val="00842C3F"/>
    <w:rsid w:val="00843A24"/>
    <w:rsid w:val="00844310"/>
    <w:rsid w:val="00847E95"/>
    <w:rsid w:val="0085100D"/>
    <w:rsid w:val="0085177D"/>
    <w:rsid w:val="008533F2"/>
    <w:rsid w:val="008545EA"/>
    <w:rsid w:val="00854C72"/>
    <w:rsid w:val="00855509"/>
    <w:rsid w:val="0086143C"/>
    <w:rsid w:val="0086375C"/>
    <w:rsid w:val="00863B1E"/>
    <w:rsid w:val="00865F9E"/>
    <w:rsid w:val="008703D3"/>
    <w:rsid w:val="008706B7"/>
    <w:rsid w:val="008732D5"/>
    <w:rsid w:val="00874F81"/>
    <w:rsid w:val="008776E6"/>
    <w:rsid w:val="008817B3"/>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B221C"/>
    <w:rsid w:val="008B4475"/>
    <w:rsid w:val="008B4AA8"/>
    <w:rsid w:val="008B5AA0"/>
    <w:rsid w:val="008B5B96"/>
    <w:rsid w:val="008C0E13"/>
    <w:rsid w:val="008C29F4"/>
    <w:rsid w:val="008C6579"/>
    <w:rsid w:val="008C6CD2"/>
    <w:rsid w:val="008D2488"/>
    <w:rsid w:val="008D40CF"/>
    <w:rsid w:val="008E17CE"/>
    <w:rsid w:val="008E20D4"/>
    <w:rsid w:val="008E39A9"/>
    <w:rsid w:val="008E612A"/>
    <w:rsid w:val="008E62F9"/>
    <w:rsid w:val="008E6EFC"/>
    <w:rsid w:val="008F3696"/>
    <w:rsid w:val="008F399B"/>
    <w:rsid w:val="008F41E4"/>
    <w:rsid w:val="008F5907"/>
    <w:rsid w:val="008F5974"/>
    <w:rsid w:val="00901BFB"/>
    <w:rsid w:val="00905A9D"/>
    <w:rsid w:val="00911394"/>
    <w:rsid w:val="00913AF8"/>
    <w:rsid w:val="00913C83"/>
    <w:rsid w:val="009151C0"/>
    <w:rsid w:val="009158F5"/>
    <w:rsid w:val="009161B7"/>
    <w:rsid w:val="009178C7"/>
    <w:rsid w:val="00917AFD"/>
    <w:rsid w:val="009219D5"/>
    <w:rsid w:val="009219E6"/>
    <w:rsid w:val="00922FCC"/>
    <w:rsid w:val="00923ECE"/>
    <w:rsid w:val="009252D1"/>
    <w:rsid w:val="00927B74"/>
    <w:rsid w:val="00927C26"/>
    <w:rsid w:val="00935275"/>
    <w:rsid w:val="009377FA"/>
    <w:rsid w:val="00940BBC"/>
    <w:rsid w:val="00944540"/>
    <w:rsid w:val="00944E76"/>
    <w:rsid w:val="00945761"/>
    <w:rsid w:val="009510E8"/>
    <w:rsid w:val="0095364C"/>
    <w:rsid w:val="00955BE0"/>
    <w:rsid w:val="00961483"/>
    <w:rsid w:val="009666A5"/>
    <w:rsid w:val="009668CE"/>
    <w:rsid w:val="009717D2"/>
    <w:rsid w:val="009717DF"/>
    <w:rsid w:val="00973268"/>
    <w:rsid w:val="009734F3"/>
    <w:rsid w:val="00974558"/>
    <w:rsid w:val="009779B1"/>
    <w:rsid w:val="009803F3"/>
    <w:rsid w:val="00984E06"/>
    <w:rsid w:val="00987A1D"/>
    <w:rsid w:val="009908AF"/>
    <w:rsid w:val="00990977"/>
    <w:rsid w:val="009970BA"/>
    <w:rsid w:val="00997F1D"/>
    <w:rsid w:val="009A09A5"/>
    <w:rsid w:val="009A278A"/>
    <w:rsid w:val="009A500C"/>
    <w:rsid w:val="009A5EFF"/>
    <w:rsid w:val="009B0C44"/>
    <w:rsid w:val="009B49F8"/>
    <w:rsid w:val="009B7496"/>
    <w:rsid w:val="009C3993"/>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0EE7"/>
    <w:rsid w:val="00A12C5A"/>
    <w:rsid w:val="00A14956"/>
    <w:rsid w:val="00A149FA"/>
    <w:rsid w:val="00A17A9C"/>
    <w:rsid w:val="00A20CC6"/>
    <w:rsid w:val="00A20E17"/>
    <w:rsid w:val="00A245FC"/>
    <w:rsid w:val="00A25E99"/>
    <w:rsid w:val="00A26BF3"/>
    <w:rsid w:val="00A30297"/>
    <w:rsid w:val="00A30B0B"/>
    <w:rsid w:val="00A31308"/>
    <w:rsid w:val="00A43FD1"/>
    <w:rsid w:val="00A4534F"/>
    <w:rsid w:val="00A465DB"/>
    <w:rsid w:val="00A506DA"/>
    <w:rsid w:val="00A54095"/>
    <w:rsid w:val="00A54A22"/>
    <w:rsid w:val="00A56678"/>
    <w:rsid w:val="00A60A3A"/>
    <w:rsid w:val="00A60D3C"/>
    <w:rsid w:val="00A623FE"/>
    <w:rsid w:val="00A64454"/>
    <w:rsid w:val="00A70158"/>
    <w:rsid w:val="00A70492"/>
    <w:rsid w:val="00A73516"/>
    <w:rsid w:val="00A75610"/>
    <w:rsid w:val="00A77F1F"/>
    <w:rsid w:val="00A80341"/>
    <w:rsid w:val="00A82287"/>
    <w:rsid w:val="00A8352E"/>
    <w:rsid w:val="00A846ED"/>
    <w:rsid w:val="00A84D3A"/>
    <w:rsid w:val="00A86C19"/>
    <w:rsid w:val="00A91002"/>
    <w:rsid w:val="00A91DF6"/>
    <w:rsid w:val="00A941F3"/>
    <w:rsid w:val="00A94A98"/>
    <w:rsid w:val="00A94B1F"/>
    <w:rsid w:val="00AA03D1"/>
    <w:rsid w:val="00AA06C1"/>
    <w:rsid w:val="00AB13A9"/>
    <w:rsid w:val="00AB5BA8"/>
    <w:rsid w:val="00AC415D"/>
    <w:rsid w:val="00AC7137"/>
    <w:rsid w:val="00AD0FB8"/>
    <w:rsid w:val="00AD113D"/>
    <w:rsid w:val="00AD2140"/>
    <w:rsid w:val="00AD28BC"/>
    <w:rsid w:val="00AD71B5"/>
    <w:rsid w:val="00AE04AF"/>
    <w:rsid w:val="00AE2BE5"/>
    <w:rsid w:val="00AE45B9"/>
    <w:rsid w:val="00AE49F2"/>
    <w:rsid w:val="00AE4E4E"/>
    <w:rsid w:val="00AE5B80"/>
    <w:rsid w:val="00AE62E7"/>
    <w:rsid w:val="00AF0153"/>
    <w:rsid w:val="00AF14E6"/>
    <w:rsid w:val="00AF6CE3"/>
    <w:rsid w:val="00AF7DEF"/>
    <w:rsid w:val="00B005C3"/>
    <w:rsid w:val="00B00FD9"/>
    <w:rsid w:val="00B0300C"/>
    <w:rsid w:val="00B03E63"/>
    <w:rsid w:val="00B0610B"/>
    <w:rsid w:val="00B111C3"/>
    <w:rsid w:val="00B14C70"/>
    <w:rsid w:val="00B14DB6"/>
    <w:rsid w:val="00B24FD6"/>
    <w:rsid w:val="00B27A67"/>
    <w:rsid w:val="00B31BBB"/>
    <w:rsid w:val="00B31E5A"/>
    <w:rsid w:val="00B3243A"/>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60FF4"/>
    <w:rsid w:val="00B633DC"/>
    <w:rsid w:val="00B65352"/>
    <w:rsid w:val="00B65DB7"/>
    <w:rsid w:val="00B6658E"/>
    <w:rsid w:val="00B66C12"/>
    <w:rsid w:val="00B71131"/>
    <w:rsid w:val="00B75AAC"/>
    <w:rsid w:val="00B761C1"/>
    <w:rsid w:val="00B76784"/>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65ED"/>
    <w:rsid w:val="00BB0C41"/>
    <w:rsid w:val="00BB171C"/>
    <w:rsid w:val="00BB6612"/>
    <w:rsid w:val="00BB69DB"/>
    <w:rsid w:val="00BC02C8"/>
    <w:rsid w:val="00BC0662"/>
    <w:rsid w:val="00BC3466"/>
    <w:rsid w:val="00BC4E93"/>
    <w:rsid w:val="00BC5127"/>
    <w:rsid w:val="00BD25B9"/>
    <w:rsid w:val="00BD276C"/>
    <w:rsid w:val="00BD36D0"/>
    <w:rsid w:val="00BD4D65"/>
    <w:rsid w:val="00BE2D46"/>
    <w:rsid w:val="00BE312A"/>
    <w:rsid w:val="00BE42A6"/>
    <w:rsid w:val="00BE4A38"/>
    <w:rsid w:val="00BE5CEE"/>
    <w:rsid w:val="00BE65D6"/>
    <w:rsid w:val="00BE69DB"/>
    <w:rsid w:val="00BE7FF2"/>
    <w:rsid w:val="00BF0265"/>
    <w:rsid w:val="00BF39AC"/>
    <w:rsid w:val="00BF7571"/>
    <w:rsid w:val="00C023B7"/>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37EFF"/>
    <w:rsid w:val="00C42F3A"/>
    <w:rsid w:val="00C43B60"/>
    <w:rsid w:val="00C44141"/>
    <w:rsid w:val="00C47297"/>
    <w:rsid w:val="00C475A1"/>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F95"/>
    <w:rsid w:val="00C774C4"/>
    <w:rsid w:val="00C77776"/>
    <w:rsid w:val="00C812A1"/>
    <w:rsid w:val="00C81A01"/>
    <w:rsid w:val="00C81A0B"/>
    <w:rsid w:val="00C87C9F"/>
    <w:rsid w:val="00C90870"/>
    <w:rsid w:val="00C93C95"/>
    <w:rsid w:val="00C93E2E"/>
    <w:rsid w:val="00C943BE"/>
    <w:rsid w:val="00C948F5"/>
    <w:rsid w:val="00CA10C9"/>
    <w:rsid w:val="00CA53A0"/>
    <w:rsid w:val="00CA5CF5"/>
    <w:rsid w:val="00CA6642"/>
    <w:rsid w:val="00CB1311"/>
    <w:rsid w:val="00CB605D"/>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A68"/>
    <w:rsid w:val="00CF4349"/>
    <w:rsid w:val="00CF5099"/>
    <w:rsid w:val="00CF69D1"/>
    <w:rsid w:val="00D01A52"/>
    <w:rsid w:val="00D02A30"/>
    <w:rsid w:val="00D12AC8"/>
    <w:rsid w:val="00D14DA0"/>
    <w:rsid w:val="00D211F2"/>
    <w:rsid w:val="00D248BA"/>
    <w:rsid w:val="00D30862"/>
    <w:rsid w:val="00D31779"/>
    <w:rsid w:val="00D318FC"/>
    <w:rsid w:val="00D31AD7"/>
    <w:rsid w:val="00D33EF9"/>
    <w:rsid w:val="00D34140"/>
    <w:rsid w:val="00D41996"/>
    <w:rsid w:val="00D43AA1"/>
    <w:rsid w:val="00D44EBB"/>
    <w:rsid w:val="00D46DBC"/>
    <w:rsid w:val="00D47EF4"/>
    <w:rsid w:val="00D5103B"/>
    <w:rsid w:val="00D51BD3"/>
    <w:rsid w:val="00D53C08"/>
    <w:rsid w:val="00D543EF"/>
    <w:rsid w:val="00D547AE"/>
    <w:rsid w:val="00D549F2"/>
    <w:rsid w:val="00D55705"/>
    <w:rsid w:val="00D60567"/>
    <w:rsid w:val="00D65915"/>
    <w:rsid w:val="00D773E0"/>
    <w:rsid w:val="00D8682B"/>
    <w:rsid w:val="00D90C8E"/>
    <w:rsid w:val="00D92DBD"/>
    <w:rsid w:val="00D93A38"/>
    <w:rsid w:val="00D95FDD"/>
    <w:rsid w:val="00D96CD4"/>
    <w:rsid w:val="00DA32EE"/>
    <w:rsid w:val="00DA5620"/>
    <w:rsid w:val="00DA6744"/>
    <w:rsid w:val="00DA7C45"/>
    <w:rsid w:val="00DB7EFC"/>
    <w:rsid w:val="00DC186F"/>
    <w:rsid w:val="00DC2BC0"/>
    <w:rsid w:val="00DC2E5B"/>
    <w:rsid w:val="00DC662F"/>
    <w:rsid w:val="00DC714B"/>
    <w:rsid w:val="00DD159B"/>
    <w:rsid w:val="00DD2423"/>
    <w:rsid w:val="00DD2AD4"/>
    <w:rsid w:val="00DD59EA"/>
    <w:rsid w:val="00DE2856"/>
    <w:rsid w:val="00DE28BA"/>
    <w:rsid w:val="00DE5072"/>
    <w:rsid w:val="00DF19C3"/>
    <w:rsid w:val="00DF4703"/>
    <w:rsid w:val="00DF4B98"/>
    <w:rsid w:val="00DF7771"/>
    <w:rsid w:val="00DF7A86"/>
    <w:rsid w:val="00DF7F83"/>
    <w:rsid w:val="00E03068"/>
    <w:rsid w:val="00E05C16"/>
    <w:rsid w:val="00E05E42"/>
    <w:rsid w:val="00E06E85"/>
    <w:rsid w:val="00E15F6D"/>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5F04"/>
    <w:rsid w:val="00E4619C"/>
    <w:rsid w:val="00E5160C"/>
    <w:rsid w:val="00E561FC"/>
    <w:rsid w:val="00E57E76"/>
    <w:rsid w:val="00E57EE1"/>
    <w:rsid w:val="00E60312"/>
    <w:rsid w:val="00E604C0"/>
    <w:rsid w:val="00E65059"/>
    <w:rsid w:val="00E67600"/>
    <w:rsid w:val="00E70322"/>
    <w:rsid w:val="00E70C18"/>
    <w:rsid w:val="00E711EA"/>
    <w:rsid w:val="00E721CC"/>
    <w:rsid w:val="00E74E0C"/>
    <w:rsid w:val="00E75B22"/>
    <w:rsid w:val="00E77535"/>
    <w:rsid w:val="00E8078F"/>
    <w:rsid w:val="00E80C6A"/>
    <w:rsid w:val="00E816D7"/>
    <w:rsid w:val="00E824D7"/>
    <w:rsid w:val="00E82E9B"/>
    <w:rsid w:val="00E841E3"/>
    <w:rsid w:val="00E857C6"/>
    <w:rsid w:val="00E92A0E"/>
    <w:rsid w:val="00E938F0"/>
    <w:rsid w:val="00E942BA"/>
    <w:rsid w:val="00E960EB"/>
    <w:rsid w:val="00E97309"/>
    <w:rsid w:val="00EA152B"/>
    <w:rsid w:val="00EA3CA8"/>
    <w:rsid w:val="00EB0F4D"/>
    <w:rsid w:val="00EB2918"/>
    <w:rsid w:val="00EB40B4"/>
    <w:rsid w:val="00EB44F9"/>
    <w:rsid w:val="00EB7112"/>
    <w:rsid w:val="00EC0CA5"/>
    <w:rsid w:val="00EC38CF"/>
    <w:rsid w:val="00EC3D19"/>
    <w:rsid w:val="00EC427C"/>
    <w:rsid w:val="00EC51C2"/>
    <w:rsid w:val="00EC52F7"/>
    <w:rsid w:val="00ED0B42"/>
    <w:rsid w:val="00ED1598"/>
    <w:rsid w:val="00ED1D95"/>
    <w:rsid w:val="00ED4893"/>
    <w:rsid w:val="00ED7827"/>
    <w:rsid w:val="00ED7834"/>
    <w:rsid w:val="00EE0E1E"/>
    <w:rsid w:val="00EE2B89"/>
    <w:rsid w:val="00EE34E5"/>
    <w:rsid w:val="00EE609C"/>
    <w:rsid w:val="00EE7266"/>
    <w:rsid w:val="00EF06E7"/>
    <w:rsid w:val="00EF4BDA"/>
    <w:rsid w:val="00EF656D"/>
    <w:rsid w:val="00F02CBE"/>
    <w:rsid w:val="00F072D7"/>
    <w:rsid w:val="00F101DB"/>
    <w:rsid w:val="00F10E54"/>
    <w:rsid w:val="00F118EA"/>
    <w:rsid w:val="00F13DB4"/>
    <w:rsid w:val="00F15961"/>
    <w:rsid w:val="00F160DC"/>
    <w:rsid w:val="00F236F5"/>
    <w:rsid w:val="00F305AA"/>
    <w:rsid w:val="00F3244C"/>
    <w:rsid w:val="00F32690"/>
    <w:rsid w:val="00F3290A"/>
    <w:rsid w:val="00F33A64"/>
    <w:rsid w:val="00F34273"/>
    <w:rsid w:val="00F35B2D"/>
    <w:rsid w:val="00F363D9"/>
    <w:rsid w:val="00F37549"/>
    <w:rsid w:val="00F410E4"/>
    <w:rsid w:val="00F414B6"/>
    <w:rsid w:val="00F442A7"/>
    <w:rsid w:val="00F45638"/>
    <w:rsid w:val="00F50191"/>
    <w:rsid w:val="00F5038E"/>
    <w:rsid w:val="00F509DA"/>
    <w:rsid w:val="00F556ED"/>
    <w:rsid w:val="00F55B95"/>
    <w:rsid w:val="00F569F7"/>
    <w:rsid w:val="00F56D4E"/>
    <w:rsid w:val="00F61FD2"/>
    <w:rsid w:val="00F63A40"/>
    <w:rsid w:val="00F63E47"/>
    <w:rsid w:val="00F644F0"/>
    <w:rsid w:val="00F66D7A"/>
    <w:rsid w:val="00F67AB4"/>
    <w:rsid w:val="00F71176"/>
    <w:rsid w:val="00F73AA7"/>
    <w:rsid w:val="00F73F38"/>
    <w:rsid w:val="00F75CBE"/>
    <w:rsid w:val="00F80F62"/>
    <w:rsid w:val="00F82E5F"/>
    <w:rsid w:val="00F85E72"/>
    <w:rsid w:val="00F8636B"/>
    <w:rsid w:val="00F90DBA"/>
    <w:rsid w:val="00F9246F"/>
    <w:rsid w:val="00F95A00"/>
    <w:rsid w:val="00F96B67"/>
    <w:rsid w:val="00FA36E0"/>
    <w:rsid w:val="00FA3A41"/>
    <w:rsid w:val="00FA4532"/>
    <w:rsid w:val="00FA522F"/>
    <w:rsid w:val="00FA5EB4"/>
    <w:rsid w:val="00FB26A9"/>
    <w:rsid w:val="00FB35C4"/>
    <w:rsid w:val="00FB4AF9"/>
    <w:rsid w:val="00FB52B9"/>
    <w:rsid w:val="00FB65E2"/>
    <w:rsid w:val="00FB6BF4"/>
    <w:rsid w:val="00FC02CC"/>
    <w:rsid w:val="00FC1109"/>
    <w:rsid w:val="00FC2D29"/>
    <w:rsid w:val="00FC5954"/>
    <w:rsid w:val="00FC705B"/>
    <w:rsid w:val="00FC73E7"/>
    <w:rsid w:val="00FC7761"/>
    <w:rsid w:val="00FD271F"/>
    <w:rsid w:val="00FD377F"/>
    <w:rsid w:val="00FD5B49"/>
    <w:rsid w:val="00FE2D88"/>
    <w:rsid w:val="00FE62B0"/>
    <w:rsid w:val="00FF183D"/>
    <w:rsid w:val="00FF18BD"/>
    <w:rsid w:val="00FF1CA4"/>
    <w:rsid w:val="00FF2056"/>
    <w:rsid w:val="00FF2F7B"/>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988BF4"/>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styleId="Mentionnonrsolue">
    <w:name w:val="Unresolved Mention"/>
    <w:basedOn w:val="Policepardfaut"/>
    <w:uiPriority w:val="99"/>
    <w:semiHidden/>
    <w:unhideWhenUsed/>
    <w:rsid w:val="00BC5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13" Type="http://schemas.openxmlformats.org/officeDocument/2006/relationships/hyperlink" Target="http://joliciel-informatique.github.io/talismane/"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s://hal.archives-ouvertes.fr/browse/doctyp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Bra17</b:Tag>
    <b:SourceType>InternetSite</b:SourceType>
    <b:Guid>{FC7D3000-8893-4E35-B580-97EDAFA4F66E}</b:Guid>
    <b:Title>The JavaScript Object Notation (JSON) Data Interchange Format</b:Title>
    <b:Year>2017</b:Year>
    <b:InternetSiteTitle>IETF Tools</b:InternetSiteTitle>
    <b:URL>https://tools.ietf.org/html/rfc8259</b:URL>
    <b:Author>
      <b:Author>
        <b:NameList>
          <b:Person>
            <b:Last>Bray</b:Last>
            <b:First>Tim</b:First>
          </b:Person>
        </b:NameList>
      </b:Author>
    </b:Author>
    <b:LCID>en-US</b:LCID>
    <b:RefOrder>20</b:RefOrder>
  </b:Source>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18</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19</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13</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21</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22</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6</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24</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4</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11</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7</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25</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26</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5</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27</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10</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28</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29</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30</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31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17</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2</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1</b:RefOrder>
  </b:Source>
  <b:Source>
    <b:Tag>Nag151</b:Tag>
    <b:SourceType>JournalArticle</b:SourceType>
    <b:Guid>{A2ECA960-9E1E-47EC-939F-4D29E7C92222}</b:Guid>
    <b:Author>
      <b:Author>
        <b:NameList>
          <b:Person>
            <b:Last>Nagano</b:Last>
            <b:First>R.</b:First>
            <b:Middle>L.</b:Middle>
          </b:Person>
        </b:NameList>
      </b:Author>
    </b:Author>
    <b:Title>Research article titles and disciplinary conventions: A corpus study of eight disciplines</b:Title>
    <b:JournalName>Journal of Academic Writing, 5(1)</b:JournalName>
    <b:Year>2015</b:Year>
    <b:Pages>133-144</b:Pages>
    <b:RefOrder>9</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8</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12</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14</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15</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16</b:RefOrder>
  </b:Source>
</b:Sources>
</file>

<file path=customXml/itemProps1.xml><?xml version="1.0" encoding="utf-8"?>
<ds:datastoreItem xmlns:ds="http://schemas.openxmlformats.org/officeDocument/2006/customXml" ds:itemID="{D804D4E0-F060-45C7-9C69-2FE1BCC3C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36</Pages>
  <Words>13290</Words>
  <Characters>73097</Characters>
  <Application>Microsoft Office Word</Application>
  <DocSecurity>0</DocSecurity>
  <Lines>609</Lines>
  <Paragraphs>172</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86215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379</cp:revision>
  <dcterms:created xsi:type="dcterms:W3CDTF">2018-07-04T13:32:00Z</dcterms:created>
  <dcterms:modified xsi:type="dcterms:W3CDTF">2018-07-22T17:17:00Z</dcterms:modified>
</cp:coreProperties>
</file>