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05E1" w14:textId="40F3AA37" w:rsidR="00430097" w:rsidRDefault="00430097" w:rsidP="00430097">
      <w:pPr>
        <w:rPr>
          <w:lang w:val="fr-FR"/>
        </w:rPr>
      </w:pPr>
      <w:r w:rsidRPr="00430097">
        <w:rPr>
          <w:highlight w:val="yellow"/>
          <w:lang w:val="fr-FR"/>
        </w:rPr>
        <w:t>REPRIS</w:t>
      </w:r>
    </w:p>
    <w:p w14:paraId="72D33130" w14:textId="50D47179" w:rsidR="00430097" w:rsidRDefault="00F919EE" w:rsidP="00430097">
      <w:pPr>
        <w:rPr>
          <w:lang w:val="fr-FR"/>
        </w:rPr>
      </w:pPr>
      <w:r w:rsidRPr="00237BDB">
        <w:rPr>
          <w:lang w:val="fr-FR"/>
        </w:rPr>
        <w:t>Nous devons en premier lieu revenir sur notre travail</w:t>
      </w:r>
      <w:r>
        <w:rPr>
          <w:lang w:val="fr-FR"/>
        </w:rPr>
        <w:t>,</w:t>
      </w:r>
      <w:r w:rsidRPr="00237BDB">
        <w:rPr>
          <w:lang w:val="fr-FR"/>
        </w:rPr>
        <w:t xml:space="preserve"> effectué durant la première année de master</w:t>
      </w:r>
      <w:r>
        <w:rPr>
          <w:lang w:val="fr-FR"/>
        </w:rPr>
        <w:t>,</w:t>
      </w:r>
      <w:r w:rsidRPr="00237BDB">
        <w:rPr>
          <w:lang w:val="fr-FR"/>
        </w:rPr>
        <w:t xml:space="preserve"> sur les titres de publications scientifiques en français. Nous avions étudié trois schémas </w:t>
      </w:r>
      <w:r>
        <w:rPr>
          <w:lang w:val="fr-FR"/>
        </w:rPr>
        <w:t xml:space="preserve">lexico-syntaxiques </w:t>
      </w:r>
      <w:r w:rsidRPr="00237BDB">
        <w:rPr>
          <w:lang w:val="fr-FR"/>
        </w:rPr>
        <w:t xml:space="preserve">fréquents dans un corpus de titres de publications scientifiques. </w:t>
      </w:r>
    </w:p>
    <w:p w14:paraId="6323400C" w14:textId="3D5631E4" w:rsidR="00430097" w:rsidRDefault="00430097" w:rsidP="00430097">
      <w:pPr>
        <w:rPr>
          <w:lang w:val="fr-FR"/>
        </w:rPr>
      </w:pPr>
      <w:r w:rsidRPr="00430097">
        <w:rPr>
          <w:highlight w:val="yellow"/>
          <w:lang w:val="fr-FR"/>
        </w:rPr>
        <w:t xml:space="preserve">Un schéma est défini par une séquence de </w:t>
      </w:r>
      <w:proofErr w:type="spellStart"/>
      <w:r w:rsidRPr="00430097">
        <w:rPr>
          <w:highlight w:val="yellow"/>
          <w:lang w:val="fr-FR"/>
        </w:rPr>
        <w:t>tokens</w:t>
      </w:r>
      <w:proofErr w:type="spellEnd"/>
      <w:r w:rsidRPr="00430097">
        <w:rPr>
          <w:highlight w:val="yellow"/>
          <w:lang w:val="fr-FR"/>
        </w:rPr>
        <w:t xml:space="preserve"> qui peut comporter des choix entre plusieurs </w:t>
      </w:r>
      <w:proofErr w:type="spellStart"/>
      <w:r w:rsidRPr="00430097">
        <w:rPr>
          <w:highlight w:val="yellow"/>
          <w:lang w:val="fr-FR"/>
        </w:rPr>
        <w:t>tokens</w:t>
      </w:r>
      <w:proofErr w:type="spellEnd"/>
      <w:r w:rsidRPr="00430097">
        <w:rPr>
          <w:highlight w:val="yellow"/>
          <w:lang w:val="fr-FR"/>
        </w:rPr>
        <w:t xml:space="preserve"> </w:t>
      </w:r>
      <w:r w:rsidRPr="00430097">
        <w:rPr>
          <w:b/>
          <w:bCs/>
          <w:highlight w:val="yellow"/>
          <w:lang w:val="fr-FR"/>
        </w:rPr>
        <w:t>A | B</w:t>
      </w:r>
      <w:r w:rsidRPr="00430097">
        <w:rPr>
          <w:highlight w:val="yellow"/>
          <w:lang w:val="fr-FR"/>
        </w:rPr>
        <w:t xml:space="preserve">, des </w:t>
      </w:r>
      <w:proofErr w:type="spellStart"/>
      <w:r w:rsidRPr="00430097">
        <w:rPr>
          <w:highlight w:val="yellow"/>
          <w:lang w:val="fr-FR"/>
        </w:rPr>
        <w:t>tokens</w:t>
      </w:r>
      <w:proofErr w:type="spellEnd"/>
      <w:r w:rsidRPr="00430097">
        <w:rPr>
          <w:highlight w:val="yellow"/>
          <w:lang w:val="fr-FR"/>
        </w:rPr>
        <w:t xml:space="preserve"> optionnels </w:t>
      </w:r>
      <w:r w:rsidRPr="00430097">
        <w:rPr>
          <w:b/>
          <w:bCs/>
          <w:highlight w:val="yellow"/>
          <w:lang w:val="fr-FR"/>
        </w:rPr>
        <w:t>[A]</w:t>
      </w:r>
      <w:r w:rsidRPr="00430097">
        <w:rPr>
          <w:highlight w:val="yellow"/>
          <w:lang w:val="fr-FR"/>
        </w:rPr>
        <w:t xml:space="preserve"> et des répétitions de </w:t>
      </w:r>
      <w:proofErr w:type="spellStart"/>
      <w:r w:rsidRPr="00430097">
        <w:rPr>
          <w:highlight w:val="yellow"/>
          <w:lang w:val="fr-FR"/>
        </w:rPr>
        <w:t>tokens</w:t>
      </w:r>
      <w:proofErr w:type="spellEnd"/>
      <w:r w:rsidRPr="00430097">
        <w:rPr>
          <w:highlight w:val="yellow"/>
          <w:lang w:val="fr-FR"/>
        </w:rPr>
        <w:t xml:space="preserve"> </w:t>
      </w:r>
      <w:r w:rsidRPr="00430097">
        <w:rPr>
          <w:b/>
          <w:bCs/>
          <w:highlight w:val="yellow"/>
          <w:lang w:val="fr-FR"/>
        </w:rPr>
        <w:t>A</w:t>
      </w:r>
      <w:r w:rsidRPr="00430097">
        <w:rPr>
          <w:b/>
          <w:bCs/>
          <w:highlight w:val="yellow"/>
          <w:vertAlign w:val="superscript"/>
          <w:lang w:val="fr-FR"/>
        </w:rPr>
        <w:t>i-j</w:t>
      </w:r>
      <w:r w:rsidRPr="00430097">
        <w:rPr>
          <w:highlight w:val="yellow"/>
          <w:lang w:val="fr-FR"/>
        </w:rPr>
        <w:t xml:space="preserve">. Un </w:t>
      </w:r>
      <w:proofErr w:type="spellStart"/>
      <w:r w:rsidRPr="00430097">
        <w:rPr>
          <w:highlight w:val="yellow"/>
          <w:lang w:val="fr-FR"/>
        </w:rPr>
        <w:t>token</w:t>
      </w:r>
      <w:proofErr w:type="spellEnd"/>
      <w:r w:rsidRPr="00430097">
        <w:rPr>
          <w:highlight w:val="yellow"/>
          <w:lang w:val="fr-FR"/>
        </w:rPr>
        <w:t xml:space="preserve"> de schéma peut être une classe grammaticale (nom - N, adjectif qualificatif - ADJ, préposition - P, conjonction de coordination CC…), un sous-ensemble d’une classe (nom commun - NC), un lemme (</w:t>
      </w:r>
      <w:r w:rsidRPr="00430097">
        <w:rPr>
          <w:i/>
          <w:iCs/>
          <w:highlight w:val="yellow"/>
          <w:lang w:val="fr-FR"/>
        </w:rPr>
        <w:t>et</w:t>
      </w:r>
      <w:r w:rsidRPr="00430097">
        <w:rPr>
          <w:highlight w:val="yellow"/>
          <w:lang w:val="fr-FR"/>
        </w:rPr>
        <w:t>) ou un signe de ponctuation comme le double point ou le point-virgule.</w:t>
      </w:r>
    </w:p>
    <w:p w14:paraId="58C764E5" w14:textId="3ED7429C" w:rsidR="00F919EE" w:rsidRPr="00237BDB" w:rsidRDefault="00F919EE" w:rsidP="00F919EE">
      <w:pPr>
        <w:rPr>
          <w:lang w:val="fr-FR"/>
        </w:rPr>
      </w:pPr>
      <w:r>
        <w:rPr>
          <w:lang w:val="fr-FR"/>
        </w:rPr>
        <w:t xml:space="preserve">À une définition de schéma correspond une à plusieurs réalisations. </w:t>
      </w:r>
      <w:r w:rsidRPr="00237BDB">
        <w:rPr>
          <w:lang w:val="fr-FR"/>
        </w:rPr>
        <w:t>Par exemple, le schéma</w:t>
      </w:r>
      <w:r>
        <w:rPr>
          <w:lang w:val="fr-FR"/>
        </w:rPr>
        <w:t xml:space="preserve"> défini par</w:t>
      </w:r>
      <w:r w:rsidRPr="00237BDB">
        <w:rPr>
          <w:lang w:val="fr-FR"/>
        </w:rPr>
        <w:t xml:space="preserve"> </w:t>
      </w:r>
      <w:r w:rsidRPr="00F7086F">
        <w:rPr>
          <w:b/>
          <w:bCs/>
          <w:lang w:val="fr-FR"/>
        </w:rPr>
        <w:t>[</w:t>
      </w:r>
      <w:r>
        <w:rPr>
          <w:b/>
          <w:lang w:val="fr-FR"/>
        </w:rPr>
        <w:t>DET] N</w:t>
      </w:r>
      <w:r w:rsidRPr="00237BDB">
        <w:rPr>
          <w:b/>
          <w:lang w:val="fr-FR"/>
        </w:rPr>
        <w:t>C ADJ</w:t>
      </w:r>
      <w:r>
        <w:rPr>
          <w:b/>
          <w:lang w:val="fr-FR"/>
        </w:rPr>
        <w:t xml:space="preserve"> </w:t>
      </w:r>
      <w:r w:rsidRPr="00E34FCA">
        <w:rPr>
          <w:bCs/>
          <w:lang w:val="fr-FR"/>
        </w:rPr>
        <w:t>a pour réalisations</w:t>
      </w:r>
      <w:r>
        <w:rPr>
          <w:b/>
          <w:lang w:val="fr-FR"/>
        </w:rPr>
        <w:t xml:space="preserve"> </w:t>
      </w:r>
      <w:r w:rsidRPr="00237BDB">
        <w:rPr>
          <w:lang w:val="fr-FR"/>
        </w:rPr>
        <w:t xml:space="preserve">la séquence </w:t>
      </w:r>
      <w:r>
        <w:rPr>
          <w:lang w:val="fr-FR"/>
        </w:rPr>
        <w:t>d’un déterminant suivi d’</w:t>
      </w:r>
      <w:r w:rsidRPr="00237BDB">
        <w:rPr>
          <w:lang w:val="fr-FR"/>
        </w:rPr>
        <w:t>un nom commun suivi d’un adjectif qualificatif</w:t>
      </w:r>
      <w:r>
        <w:rPr>
          <w:lang w:val="fr-FR"/>
        </w:rPr>
        <w:t xml:space="preserve"> ou la séquence d’un nom commun suivi d’un adjectif qualificatif</w:t>
      </w:r>
      <w:r w:rsidRPr="00237BDB">
        <w:rPr>
          <w:lang w:val="fr-FR"/>
        </w:rPr>
        <w:t>.</w:t>
      </w:r>
    </w:p>
    <w:p w14:paraId="747679EF" w14:textId="77777777" w:rsidR="00F919EE" w:rsidRPr="00237BDB" w:rsidRDefault="00F919EE" w:rsidP="00F919EE">
      <w:pPr>
        <w:rPr>
          <w:lang w:val="fr-FR"/>
        </w:rPr>
      </w:pPr>
      <w:bookmarkStart w:id="0" w:name="_Hlk19741832"/>
      <w:r w:rsidRPr="00430097">
        <w:rPr>
          <w:highlight w:val="yellow"/>
          <w:lang w:val="fr-FR"/>
        </w:rPr>
        <w:t>Une séquence de tokens dans un titre, mots ou signes de ponctuation, correspond à un schéma lorsque la séquence du titre se conforme à une des réalisations possibles définies par le schéma.</w:t>
      </w:r>
      <w:bookmarkStart w:id="1" w:name="_GoBack"/>
      <w:bookmarkEnd w:id="0"/>
      <w:bookmarkEnd w:id="1"/>
      <w:r>
        <w:rPr>
          <w:lang w:val="fr-FR"/>
        </w:rPr>
        <w:t xml:space="preserve"> </w:t>
      </w:r>
      <w:r w:rsidRPr="00237BDB">
        <w:rPr>
          <w:lang w:val="fr-FR"/>
        </w:rPr>
        <w:t>Ainsi l</w:t>
      </w:r>
      <w:r>
        <w:rPr>
          <w:lang w:val="fr-FR"/>
        </w:rPr>
        <w:t>e titre</w:t>
      </w:r>
      <w:r w:rsidRPr="00237BDB">
        <w:rPr>
          <w:lang w:val="fr-FR"/>
        </w:rPr>
        <w:t xml:space="preserve"> </w:t>
      </w:r>
      <w:r w:rsidRPr="00722EB7">
        <w:rPr>
          <w:i/>
          <w:iCs/>
          <w:lang w:val="fr-FR"/>
        </w:rPr>
        <w:t>Villes durables et changement climatique</w:t>
      </w:r>
      <w:r w:rsidRPr="00237BDB">
        <w:rPr>
          <w:lang w:val="fr-FR"/>
        </w:rPr>
        <w:t xml:space="preserve"> correspond, entre autres, au</w:t>
      </w:r>
      <w:r>
        <w:rPr>
          <w:lang w:val="fr-FR"/>
        </w:rPr>
        <w:t>x deux</w:t>
      </w:r>
      <w:r w:rsidRPr="00237BDB">
        <w:rPr>
          <w:lang w:val="fr-FR"/>
        </w:rPr>
        <w:t xml:space="preserve"> schéma</w:t>
      </w:r>
      <w:r>
        <w:rPr>
          <w:lang w:val="fr-FR"/>
        </w:rPr>
        <w:t>s</w:t>
      </w:r>
      <w:r w:rsidRPr="00237BDB">
        <w:rPr>
          <w:lang w:val="fr-FR"/>
        </w:rPr>
        <w:t xml:space="preserve"> </w:t>
      </w:r>
      <w:r w:rsidRPr="00237BDB">
        <w:rPr>
          <w:b/>
          <w:lang w:val="fr-FR"/>
        </w:rPr>
        <w:t>NC ADJ CC NC ADJ</w:t>
      </w:r>
      <w:r w:rsidRPr="00237BDB">
        <w:rPr>
          <w:lang w:val="fr-FR"/>
        </w:rPr>
        <w:t xml:space="preserve"> </w:t>
      </w:r>
      <w:r>
        <w:rPr>
          <w:lang w:val="fr-FR"/>
        </w:rPr>
        <w:t>et</w:t>
      </w:r>
      <w:r w:rsidRPr="00237BDB">
        <w:rPr>
          <w:lang w:val="fr-FR"/>
        </w:rPr>
        <w:t xml:space="preserve"> </w:t>
      </w:r>
      <w:r w:rsidRPr="00237BDB">
        <w:rPr>
          <w:b/>
          <w:lang w:val="fr-FR"/>
        </w:rPr>
        <w:t>NC ADJ et NC ADJ</w:t>
      </w:r>
      <w:r w:rsidRPr="00237BDB">
        <w:rPr>
          <w:lang w:val="fr-FR"/>
        </w:rPr>
        <w:t xml:space="preserve">. Le premier </w:t>
      </w:r>
      <w:r>
        <w:rPr>
          <w:lang w:val="fr-FR"/>
        </w:rPr>
        <w:t xml:space="preserve">schéma </w:t>
      </w:r>
      <w:r w:rsidRPr="00237BDB">
        <w:rPr>
          <w:lang w:val="fr-FR"/>
        </w:rPr>
        <w:t xml:space="preserve">n’utilise que des classes grammaticales comme </w:t>
      </w:r>
      <w:r>
        <w:rPr>
          <w:lang w:val="fr-FR"/>
        </w:rPr>
        <w:t>tokens</w:t>
      </w:r>
      <w:r w:rsidRPr="00237BDB">
        <w:rPr>
          <w:lang w:val="fr-FR"/>
        </w:rPr>
        <w:t xml:space="preserve">, </w:t>
      </w:r>
      <w:r>
        <w:rPr>
          <w:lang w:val="fr-FR"/>
        </w:rPr>
        <w:t xml:space="preserve">alors que </w:t>
      </w:r>
      <w:r w:rsidRPr="00237BDB">
        <w:rPr>
          <w:lang w:val="fr-FR"/>
        </w:rPr>
        <w:t xml:space="preserve">le second utilise </w:t>
      </w:r>
      <w:r>
        <w:rPr>
          <w:lang w:val="fr-FR"/>
        </w:rPr>
        <w:t xml:space="preserve">comme tokens </w:t>
      </w:r>
      <w:r w:rsidRPr="00237BDB">
        <w:rPr>
          <w:lang w:val="fr-FR"/>
        </w:rPr>
        <w:t xml:space="preserve">quatre classes grammaticales et un lemme, </w:t>
      </w:r>
      <w:r w:rsidRPr="00E34FCA">
        <w:rPr>
          <w:b/>
          <w:bCs/>
          <w:lang w:val="fr-FR"/>
        </w:rPr>
        <w:t>et</w:t>
      </w:r>
      <w:r w:rsidRPr="00237BDB">
        <w:rPr>
          <w:lang w:val="fr-FR"/>
        </w:rPr>
        <w:t xml:space="preserve">. La séquence </w:t>
      </w:r>
      <w:r w:rsidRPr="00722EB7">
        <w:rPr>
          <w:i/>
          <w:iCs/>
          <w:lang w:val="fr-FR"/>
        </w:rPr>
        <w:t>union parfaite ou mariage impossible</w:t>
      </w:r>
      <w:r w:rsidRPr="00237BDB">
        <w:rPr>
          <w:lang w:val="fr-FR"/>
        </w:rPr>
        <w:t xml:space="preserve"> correspond au premier schéma mais pas au second</w:t>
      </w:r>
      <w:r>
        <w:rPr>
          <w:lang w:val="fr-FR"/>
        </w:rPr>
        <w:t xml:space="preserve"> : </w:t>
      </w:r>
      <w:r w:rsidRPr="00C12875">
        <w:rPr>
          <w:i/>
          <w:iCs/>
          <w:lang w:val="fr-FR"/>
        </w:rPr>
        <w:t>ou</w:t>
      </w:r>
      <w:r>
        <w:rPr>
          <w:lang w:val="fr-FR"/>
        </w:rPr>
        <w:t xml:space="preserve"> peut être associé à </w:t>
      </w:r>
      <w:r w:rsidRPr="00E34FCA">
        <w:rPr>
          <w:b/>
          <w:bCs/>
          <w:lang w:val="fr-FR"/>
        </w:rPr>
        <w:t>CC</w:t>
      </w:r>
      <w:r>
        <w:rPr>
          <w:lang w:val="fr-FR"/>
        </w:rPr>
        <w:t xml:space="preserve"> mais pas à </w:t>
      </w:r>
      <w:r w:rsidRPr="00E34FCA">
        <w:rPr>
          <w:b/>
          <w:bCs/>
          <w:lang w:val="fr-FR"/>
        </w:rPr>
        <w:t>et</w:t>
      </w:r>
      <w:r w:rsidRPr="00E34FCA">
        <w:rPr>
          <w:lang w:val="fr-FR"/>
        </w:rPr>
        <w:t>.</w:t>
      </w:r>
      <w:r w:rsidRPr="00237BDB">
        <w:rPr>
          <w:lang w:val="fr-FR"/>
        </w:rPr>
        <w:t xml:space="preserve"> Pour les deux schémas, leur premier </w:t>
      </w:r>
      <w:r>
        <w:rPr>
          <w:lang w:val="fr-FR"/>
        </w:rPr>
        <w:t>token</w:t>
      </w:r>
      <w:r w:rsidRPr="00237BDB">
        <w:rPr>
          <w:lang w:val="fr-FR"/>
        </w:rPr>
        <w:t xml:space="preserve">, </w:t>
      </w:r>
      <w:r w:rsidRPr="00E34FCA">
        <w:rPr>
          <w:b/>
          <w:bCs/>
          <w:lang w:val="fr-FR"/>
        </w:rPr>
        <w:t>NC</w:t>
      </w:r>
      <w:r w:rsidRPr="00237BDB">
        <w:rPr>
          <w:lang w:val="fr-FR"/>
        </w:rPr>
        <w:t xml:space="preserve">, est associé au mot </w:t>
      </w:r>
      <w:r w:rsidRPr="00C12875">
        <w:rPr>
          <w:i/>
          <w:iCs/>
          <w:lang w:val="fr-FR"/>
        </w:rPr>
        <w:t>Villes</w:t>
      </w:r>
      <w:r w:rsidRPr="00237BDB">
        <w:rPr>
          <w:lang w:val="fr-FR"/>
        </w:rPr>
        <w:t xml:space="preserve"> pour le premier exemple et</w:t>
      </w:r>
      <w:r>
        <w:rPr>
          <w:lang w:val="fr-FR"/>
        </w:rPr>
        <w:t xml:space="preserve"> à</w:t>
      </w:r>
      <w:r w:rsidRPr="00237BDB">
        <w:rPr>
          <w:lang w:val="fr-FR"/>
        </w:rPr>
        <w:t xml:space="preserve"> </w:t>
      </w:r>
      <w:r w:rsidRPr="00C12875">
        <w:rPr>
          <w:i/>
          <w:iCs/>
          <w:lang w:val="fr-FR"/>
        </w:rPr>
        <w:t>union</w:t>
      </w:r>
      <w:r w:rsidRPr="00237BDB">
        <w:rPr>
          <w:lang w:val="fr-FR"/>
        </w:rPr>
        <w:t xml:space="preserve"> pour le second.</w:t>
      </w:r>
    </w:p>
    <w:p w14:paraId="0030BBD7" w14:textId="77777777" w:rsidR="00F919EE" w:rsidRPr="00237BDB" w:rsidRDefault="00F919EE" w:rsidP="00F919EE">
      <w:pPr>
        <w:rPr>
          <w:lang w:val="fr-FR"/>
        </w:rPr>
      </w:pPr>
      <w:r w:rsidRPr="00237BDB">
        <w:rPr>
          <w:lang w:val="fr-FR"/>
        </w:rPr>
        <w:t xml:space="preserve">Les trois schémas étudiés dans notre travail précédent </w:t>
      </w:r>
      <w:r>
        <w:rPr>
          <w:lang w:val="fr-FR"/>
        </w:rPr>
        <w:t xml:space="preserve">ne correspondaient à chaque fois qu’à une partie du titre et non à son ensemble : un titre était sélectionné s’il </w:t>
      </w:r>
      <w:r w:rsidRPr="00E34FCA">
        <w:rPr>
          <w:lang w:val="fr-FR"/>
        </w:rPr>
        <w:t>contenait</w:t>
      </w:r>
      <w:r>
        <w:rPr>
          <w:lang w:val="fr-FR"/>
        </w:rPr>
        <w:t xml:space="preserve"> une séquence correspondant à un de nos schémas, mise en gras dans les exemples qui suivent. Nous donnons ci-dessous une description et une définition pour ces trois schémas.</w:t>
      </w:r>
      <w:r w:rsidRPr="00237BDB">
        <w:rPr>
          <w:lang w:val="fr-FR"/>
        </w:rPr>
        <w:t xml:space="preserve"> </w:t>
      </w:r>
    </w:p>
    <w:p w14:paraId="68A2DDE0" w14:textId="77777777" w:rsidR="00F919EE" w:rsidRPr="00155C00" w:rsidRDefault="00F919EE" w:rsidP="00F919EE">
      <w:pPr>
        <w:pStyle w:val="Sous-titre"/>
        <w:numPr>
          <w:ilvl w:val="0"/>
          <w:numId w:val="2"/>
        </w:numPr>
        <w:spacing w:line="271" w:lineRule="auto"/>
        <w:jc w:val="left"/>
        <w:rPr>
          <w:b/>
          <w:bCs/>
          <w:lang w:val="fr-FR"/>
        </w:rPr>
      </w:pPr>
      <w:bookmarkStart w:id="2" w:name="_ha677eoi7irl" w:colFirst="0" w:colLast="0"/>
      <w:bookmarkEnd w:id="2"/>
      <w:r w:rsidRPr="00452BA3">
        <w:rPr>
          <w:color w:val="000000"/>
          <w:lang w:val="fr-FR"/>
        </w:rPr>
        <w:t>Description</w:t>
      </w:r>
      <w:r w:rsidRPr="00452BA3">
        <w:rPr>
          <w:color w:val="000000"/>
          <w:lang w:val="fr-FR"/>
        </w:rPr>
        <w:tab/>
        <w:t xml:space="preserve">Un double point suivi d’un un syntagme nominal dont le nom est complémenté </w:t>
      </w:r>
      <w:r w:rsidRPr="00452BA3">
        <w:rPr>
          <w:color w:val="000000"/>
          <w:lang w:val="fr-FR"/>
        </w:rPr>
        <w:br/>
        <w:t xml:space="preserve">                             par un syntagme prépositionnel</w:t>
      </w:r>
      <w:r w:rsidRPr="00452BA3">
        <w:rPr>
          <w:color w:val="000000"/>
          <w:lang w:val="fr-FR"/>
        </w:rPr>
        <w:br/>
        <w:t>Définition</w:t>
      </w:r>
      <w:r w:rsidRPr="00452BA3">
        <w:rPr>
          <w:color w:val="000000"/>
          <w:lang w:val="fr-FR"/>
        </w:rPr>
        <w:tab/>
      </w:r>
      <w:r w:rsidRPr="00452BA3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 w:rsidRPr="00452BA3">
        <w:rPr>
          <w:rFonts w:ascii="Consolas" w:hAnsi="Consolas" w:cs="Consolas"/>
          <w:b/>
          <w:bCs/>
          <w:color w:val="000000"/>
          <w:bdr w:val="single" w:sz="8" w:space="0" w:color="0070C0"/>
          <w:shd w:val="clear" w:color="auto" w:fill="E7E6E6" w:themeFill="background2"/>
          <w:lang w:val="fr-FR"/>
        </w:rPr>
        <w:t>: NC P NC</w:t>
      </w:r>
      <w:r w:rsidRPr="00452BA3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 w:rsidRPr="00452BA3">
        <w:rPr>
          <w:rFonts w:ascii="Consolas" w:hAnsi="Consolas" w:cs="Consolas"/>
          <w:b/>
          <w:bCs/>
          <w:color w:val="000000"/>
          <w:lang w:val="fr-FR"/>
        </w:rPr>
        <w:br/>
      </w:r>
      <w:r w:rsidRPr="00452BA3">
        <w:rPr>
          <w:color w:val="000000"/>
          <w:lang w:val="fr-FR"/>
        </w:rPr>
        <w:t>Exemple</w:t>
      </w:r>
      <w:r w:rsidRPr="00452BA3">
        <w:rPr>
          <w:rFonts w:ascii="Consolas" w:hAnsi="Consolas" w:cs="Consolas"/>
          <w:color w:val="000000"/>
          <w:lang w:val="fr-FR"/>
        </w:rPr>
        <w:tab/>
      </w:r>
      <w:r w:rsidRPr="00155C00">
        <w:rPr>
          <w:color w:val="000000"/>
          <w:lang w:val="fr-FR"/>
        </w:rPr>
        <w:t>(1)</w:t>
      </w:r>
      <w:r w:rsidRPr="00155C00">
        <w:rPr>
          <w:rFonts w:ascii="Consolas" w:hAnsi="Consolas" w:cs="Consolas"/>
          <w:color w:val="000000"/>
          <w:lang w:val="fr-FR"/>
        </w:rPr>
        <w:t xml:space="preserve"> </w:t>
      </w:r>
      <w:r w:rsidRPr="00155C00">
        <w:rPr>
          <w:color w:val="000000"/>
          <w:lang w:val="fr-FR"/>
        </w:rPr>
        <w:t xml:space="preserve">La société face au pouvoir dans le roman arabe moderne </w:t>
      </w:r>
      <w:r w:rsidRPr="00155C00">
        <w:rPr>
          <w:b/>
          <w:bCs/>
          <w:color w:val="000000"/>
          <w:lang w:val="fr-FR"/>
        </w:rPr>
        <w:t xml:space="preserve">: la voie </w:t>
      </w:r>
      <w:r>
        <w:rPr>
          <w:b/>
          <w:bCs/>
          <w:color w:val="000000"/>
          <w:lang w:val="fr-FR"/>
        </w:rPr>
        <w:br/>
      </w:r>
      <w:r w:rsidRPr="00F919EE">
        <w:rPr>
          <w:color w:val="000000"/>
          <w:lang w:val="fr-FR"/>
        </w:rPr>
        <w:t xml:space="preserve">                             </w:t>
      </w:r>
      <w:r w:rsidRPr="00155C00">
        <w:rPr>
          <w:b/>
          <w:bCs/>
          <w:color w:val="000000"/>
          <w:lang w:val="fr-FR"/>
        </w:rPr>
        <w:t>religieuse comme alternative</w:t>
      </w:r>
    </w:p>
    <w:p w14:paraId="4B26D21D" w14:textId="77777777" w:rsidR="00F919EE" w:rsidRPr="00155C00" w:rsidRDefault="00F919EE" w:rsidP="00F919EE">
      <w:pPr>
        <w:pStyle w:val="Sous-titre"/>
        <w:numPr>
          <w:ilvl w:val="0"/>
          <w:numId w:val="2"/>
        </w:numPr>
        <w:spacing w:line="271" w:lineRule="auto"/>
        <w:jc w:val="left"/>
        <w:rPr>
          <w:lang w:val="fr-FR"/>
        </w:rPr>
      </w:pPr>
      <w:bookmarkStart w:id="3" w:name="_rkrjhsgctn3v" w:colFirst="0" w:colLast="0"/>
      <w:bookmarkEnd w:id="3"/>
      <w:r>
        <w:rPr>
          <w:color w:val="000000"/>
          <w:lang w:val="fr-FR"/>
        </w:rPr>
        <w:t>Description</w:t>
      </w:r>
      <w:r>
        <w:rPr>
          <w:color w:val="000000"/>
          <w:lang w:val="fr-FR"/>
        </w:rPr>
        <w:tab/>
        <w:t>U</w:t>
      </w:r>
      <w:r w:rsidRPr="00237BDB">
        <w:rPr>
          <w:color w:val="000000"/>
          <w:lang w:val="fr-FR"/>
        </w:rPr>
        <w:t xml:space="preserve">n double point suivi d’un syntagme prépositionnel dont le nom est </w:t>
      </w:r>
      <w:r>
        <w:rPr>
          <w:color w:val="000000"/>
          <w:lang w:val="fr-FR"/>
        </w:rPr>
        <w:br/>
        <w:t xml:space="preserve">                             </w:t>
      </w:r>
      <w:r w:rsidRPr="00237BDB">
        <w:rPr>
          <w:color w:val="000000"/>
          <w:lang w:val="fr-FR"/>
        </w:rPr>
        <w:t>complémenté par un syntagme prépositionnel</w:t>
      </w:r>
      <w:r>
        <w:rPr>
          <w:color w:val="000000"/>
          <w:lang w:val="fr-FR"/>
        </w:rPr>
        <w:br/>
        <w:t xml:space="preserve">Définition         </w:t>
      </w:r>
      <w:r w:rsidRPr="00237BDB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 xml:space="preserve"> </w:t>
      </w:r>
      <w:r w:rsidRPr="003463F1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 w:rsidRPr="003463F1">
        <w:rPr>
          <w:rFonts w:ascii="Consolas" w:hAnsi="Consolas" w:cs="Consolas"/>
          <w:b/>
          <w:bCs/>
          <w:color w:val="000000"/>
          <w:bdr w:val="single" w:sz="8" w:space="0" w:color="0070C0"/>
          <w:shd w:val="clear" w:color="auto" w:fill="E7E6E6" w:themeFill="background2"/>
          <w:lang w:val="fr-FR"/>
        </w:rPr>
        <w:t>: P NC P NC</w:t>
      </w:r>
      <w:r w:rsidRPr="003463F1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>
        <w:rPr>
          <w:rFonts w:ascii="Consolas" w:hAnsi="Consolas" w:cs="Consolas"/>
          <w:b/>
          <w:bCs/>
          <w:color w:val="000000"/>
          <w:lang w:val="fr-FR"/>
        </w:rPr>
        <w:br/>
      </w:r>
      <w:r w:rsidRPr="003463F1">
        <w:rPr>
          <w:color w:val="000000"/>
          <w:lang w:val="fr-FR"/>
        </w:rPr>
        <w:t>Exemple</w:t>
      </w:r>
      <w:r>
        <w:rPr>
          <w:color w:val="000000"/>
          <w:lang w:val="fr-FR"/>
        </w:rPr>
        <w:t xml:space="preserve">              </w:t>
      </w:r>
      <w:r w:rsidRPr="00155C00">
        <w:rPr>
          <w:color w:val="000000"/>
          <w:lang w:val="fr-FR"/>
        </w:rPr>
        <w:t xml:space="preserve">(2) Couper les seins des femmes </w:t>
      </w:r>
      <w:r w:rsidRPr="00155C00">
        <w:rPr>
          <w:b/>
          <w:bCs/>
          <w:color w:val="000000"/>
          <w:lang w:val="fr-FR"/>
        </w:rPr>
        <w:t>: du supplice à la monstruosité</w:t>
      </w:r>
    </w:p>
    <w:p w14:paraId="2B576E70" w14:textId="77777777" w:rsidR="00F919EE" w:rsidRPr="00155C00" w:rsidRDefault="00F919EE" w:rsidP="00F919EE">
      <w:pPr>
        <w:pStyle w:val="Sous-titre"/>
        <w:numPr>
          <w:ilvl w:val="0"/>
          <w:numId w:val="2"/>
        </w:numPr>
        <w:spacing w:line="271" w:lineRule="auto"/>
        <w:jc w:val="left"/>
        <w:rPr>
          <w:lang w:val="fr-FR"/>
        </w:rPr>
      </w:pPr>
      <w:bookmarkStart w:id="4" w:name="_abgqbnceocsj" w:colFirst="0" w:colLast="0"/>
      <w:bookmarkEnd w:id="4"/>
      <w:r>
        <w:rPr>
          <w:color w:val="000000"/>
          <w:lang w:val="fr-FR"/>
        </w:rPr>
        <w:t>Description        U</w:t>
      </w:r>
      <w:r w:rsidRPr="00237BDB">
        <w:rPr>
          <w:color w:val="000000"/>
          <w:lang w:val="fr-FR"/>
        </w:rPr>
        <w:t xml:space="preserve">n double point suivi d’un syntagme nominal constitué de deux noms </w:t>
      </w:r>
      <w:r>
        <w:rPr>
          <w:color w:val="000000"/>
          <w:lang w:val="fr-FR"/>
        </w:rPr>
        <w:br/>
        <w:t xml:space="preserve">                             </w:t>
      </w:r>
      <w:r w:rsidRPr="00237BDB">
        <w:rPr>
          <w:color w:val="000000"/>
          <w:lang w:val="fr-FR"/>
        </w:rPr>
        <w:t>coordonnés</w:t>
      </w:r>
      <w:r>
        <w:rPr>
          <w:color w:val="000000"/>
          <w:lang w:val="fr-FR"/>
        </w:rPr>
        <w:br/>
        <w:t xml:space="preserve">Définition           </w:t>
      </w:r>
      <w:r w:rsidRPr="003463F1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 w:rsidRPr="003463F1">
        <w:rPr>
          <w:rFonts w:ascii="Consolas" w:hAnsi="Consolas" w:cs="Consolas"/>
          <w:b/>
          <w:bCs/>
          <w:color w:val="000000"/>
          <w:bdr w:val="single" w:sz="8" w:space="0" w:color="0070C0"/>
          <w:shd w:val="clear" w:color="auto" w:fill="E7E6E6" w:themeFill="background2"/>
          <w:lang w:val="fr-FR"/>
        </w:rPr>
        <w:t>: NC CC NC</w:t>
      </w:r>
      <w:r w:rsidRPr="003463F1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>
        <w:rPr>
          <w:rFonts w:ascii="Consolas" w:hAnsi="Consolas" w:cs="Consolas"/>
          <w:b/>
          <w:bCs/>
          <w:color w:val="000000"/>
          <w:lang w:val="fr-FR"/>
        </w:rPr>
        <w:br/>
      </w:r>
      <w:r w:rsidRPr="003463F1">
        <w:rPr>
          <w:color w:val="000000"/>
          <w:lang w:val="fr-FR"/>
        </w:rPr>
        <w:t>Exemple</w:t>
      </w:r>
      <w:r>
        <w:rPr>
          <w:color w:val="000000"/>
          <w:lang w:val="fr-FR"/>
        </w:rPr>
        <w:t xml:space="preserve">              </w:t>
      </w:r>
      <w:r w:rsidRPr="00155C00">
        <w:rPr>
          <w:color w:val="000000"/>
          <w:lang w:val="fr-FR"/>
        </w:rPr>
        <w:t xml:space="preserve">(3) La Fée Électricité </w:t>
      </w:r>
      <w:r w:rsidRPr="00155C00">
        <w:rPr>
          <w:b/>
          <w:bCs/>
          <w:color w:val="000000"/>
          <w:lang w:val="fr-FR"/>
        </w:rPr>
        <w:t>: espoirs et craintes</w:t>
      </w:r>
      <w:r w:rsidRPr="00155C00">
        <w:rPr>
          <w:color w:val="000000"/>
          <w:lang w:val="fr-FR"/>
        </w:rPr>
        <w:t xml:space="preserve"> de la modernité</w:t>
      </w:r>
    </w:p>
    <w:p w14:paraId="5434989A" w14:textId="77777777" w:rsidR="00F919EE" w:rsidRDefault="00F919EE" w:rsidP="00F919EE">
      <w:pPr>
        <w:rPr>
          <w:lang w:val="fr-FR"/>
        </w:rPr>
      </w:pPr>
      <w:r>
        <w:rPr>
          <w:lang w:val="fr-FR"/>
        </w:rPr>
        <w:t>Les définitions sont données dans leurs formes minimales.</w:t>
      </w:r>
      <w:r w:rsidRPr="00237BDB">
        <w:rPr>
          <w:lang w:val="fr-FR"/>
        </w:rPr>
        <w:t xml:space="preserve"> Nous</w:t>
      </w:r>
      <w:r>
        <w:rPr>
          <w:lang w:val="fr-FR"/>
        </w:rPr>
        <w:t xml:space="preserve"> ne représentons pas</w:t>
      </w:r>
      <w:r w:rsidRPr="00237BDB">
        <w:rPr>
          <w:lang w:val="fr-FR"/>
        </w:rPr>
        <w:t xml:space="preserve"> la possibilité d’avoir des </w:t>
      </w:r>
      <w:r>
        <w:rPr>
          <w:lang w:val="fr-FR"/>
        </w:rPr>
        <w:t xml:space="preserve">déterminants et des </w:t>
      </w:r>
      <w:r w:rsidRPr="00237BDB">
        <w:rPr>
          <w:lang w:val="fr-FR"/>
        </w:rPr>
        <w:t>adjectifs qualificatifs pour les noms de chaque schéma</w:t>
      </w:r>
      <w:r>
        <w:rPr>
          <w:lang w:val="fr-FR"/>
        </w:rPr>
        <w:t xml:space="preserve"> dans des définitions étendues de ceux-ci,</w:t>
      </w:r>
      <w:r w:rsidRPr="00237BDB">
        <w:rPr>
          <w:lang w:val="fr-FR"/>
        </w:rPr>
        <w:t xml:space="preserve"> mais</w:t>
      </w:r>
      <w:r>
        <w:rPr>
          <w:lang w:val="fr-FR"/>
        </w:rPr>
        <w:t>,</w:t>
      </w:r>
      <w:r w:rsidRPr="00237BDB">
        <w:rPr>
          <w:lang w:val="fr-FR"/>
        </w:rPr>
        <w:t xml:space="preserve"> par souci de simplification</w:t>
      </w:r>
      <w:r>
        <w:rPr>
          <w:lang w:val="fr-FR"/>
        </w:rPr>
        <w:t>,</w:t>
      </w:r>
      <w:r w:rsidRPr="00237BDB">
        <w:rPr>
          <w:lang w:val="fr-FR"/>
        </w:rPr>
        <w:t xml:space="preserve"> nous écartons </w:t>
      </w:r>
      <w:r>
        <w:rPr>
          <w:lang w:val="fr-FR"/>
        </w:rPr>
        <w:t>ces</w:t>
      </w:r>
      <w:r w:rsidRPr="00237BDB">
        <w:rPr>
          <w:lang w:val="fr-FR"/>
        </w:rPr>
        <w:t xml:space="preserve"> possibilité</w:t>
      </w:r>
      <w:r>
        <w:rPr>
          <w:lang w:val="fr-FR"/>
        </w:rPr>
        <w:t>s</w:t>
      </w:r>
      <w:r w:rsidRPr="00237BDB">
        <w:rPr>
          <w:lang w:val="fr-FR"/>
        </w:rPr>
        <w:t xml:space="preserve"> ici.</w:t>
      </w:r>
    </w:p>
    <w:sectPr w:rsidR="00F91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3396"/>
    <w:multiLevelType w:val="multilevel"/>
    <w:tmpl w:val="6E3A3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0756C8"/>
    <w:multiLevelType w:val="multilevel"/>
    <w:tmpl w:val="1A707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EE"/>
    <w:rsid w:val="00430097"/>
    <w:rsid w:val="005618D0"/>
    <w:rsid w:val="0064727D"/>
    <w:rsid w:val="00CF7498"/>
    <w:rsid w:val="00DC7560"/>
    <w:rsid w:val="00F67B3F"/>
    <w:rsid w:val="00F9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63C3"/>
  <w15:chartTrackingRefBased/>
  <w15:docId w15:val="{CB9D9ED4-72E9-4769-8987-F8B80EB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19EE"/>
    <w:pPr>
      <w:spacing w:before="120" w:after="120" w:line="273" w:lineRule="auto"/>
      <w:ind w:firstLine="720"/>
      <w:jc w:val="both"/>
    </w:pPr>
    <w:rPr>
      <w:rFonts w:ascii="Calibri" w:eastAsia="MS Mincho" w:hAnsi="Calibri" w:cs="Calibri"/>
      <w:lang w:val="en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F919EE"/>
    <w:pPr>
      <w:keepNext/>
      <w:keepLines/>
      <w:spacing w:before="0" w:after="0" w:line="268" w:lineRule="auto"/>
      <w:ind w:left="720" w:hanging="360"/>
    </w:pPr>
  </w:style>
  <w:style w:type="character" w:customStyle="1" w:styleId="Sous-titreCar">
    <w:name w:val="Sous-titre Car"/>
    <w:basedOn w:val="Policepardfaut"/>
    <w:link w:val="Sous-titre"/>
    <w:uiPriority w:val="11"/>
    <w:rsid w:val="00F919EE"/>
    <w:rPr>
      <w:rFonts w:ascii="Calibri" w:eastAsia="MS Mincho" w:hAnsi="Calibri" w:cs="Calibri"/>
      <w:lang w:val="en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Gouteux</dc:creator>
  <cp:keywords/>
  <dc:description/>
  <cp:lastModifiedBy>Damien Gouteux</cp:lastModifiedBy>
  <cp:revision>3</cp:revision>
  <dcterms:created xsi:type="dcterms:W3CDTF">2019-09-14T16:08:00Z</dcterms:created>
  <dcterms:modified xsi:type="dcterms:W3CDTF">2019-09-18T21:31:00Z</dcterms:modified>
</cp:coreProperties>
</file>