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3FB4" w:rsidRPr="008B7212" w:rsidRDefault="0091584B" w:rsidP="008B7212">
      <w:pPr>
        <w:pStyle w:val="Titre"/>
        <w:jc w:val="center"/>
        <w:rPr>
          <w:sz w:val="44"/>
          <w:szCs w:val="44"/>
        </w:rPr>
      </w:pPr>
      <w:r>
        <w:rPr>
          <w:noProof/>
          <w:lang w:eastAsia="fr-FR"/>
        </w:rPr>
        <w:drawing>
          <wp:anchor distT="0" distB="0" distL="114300" distR="114300" simplePos="0" relativeHeight="251657728" behindDoc="0" locked="0" layoutInCell="1" allowOverlap="1" wp14:anchorId="422937D0">
            <wp:simplePos x="0" y="0"/>
            <wp:positionH relativeFrom="column">
              <wp:posOffset>2014855</wp:posOffset>
            </wp:positionH>
            <wp:positionV relativeFrom="page">
              <wp:posOffset>-1270</wp:posOffset>
            </wp:positionV>
            <wp:extent cx="1800000" cy="396000"/>
            <wp:effectExtent l="0" t="0" r="0" b="444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2J_logo.jpg"/>
                    <pic:cNvPicPr/>
                  </pic:nvPicPr>
                  <pic:blipFill>
                    <a:blip r:embed="rId7">
                      <a:extLst>
                        <a:ext uri="{28A0092B-C50C-407E-A947-70E740481C1C}">
                          <a14:useLocalDpi xmlns:a14="http://schemas.microsoft.com/office/drawing/2010/main" val="0"/>
                        </a:ext>
                      </a:extLst>
                    </a:blip>
                    <a:stretch>
                      <a:fillRect/>
                    </a:stretch>
                  </pic:blipFill>
                  <pic:spPr>
                    <a:xfrm>
                      <a:off x="0" y="0"/>
                      <a:ext cx="1800000" cy="396000"/>
                    </a:xfrm>
                    <a:prstGeom prst="rect">
                      <a:avLst/>
                    </a:prstGeom>
                  </pic:spPr>
                </pic:pic>
              </a:graphicData>
            </a:graphic>
            <wp14:sizeRelH relativeFrom="margin">
              <wp14:pctWidth>0</wp14:pctWidth>
            </wp14:sizeRelH>
            <wp14:sizeRelV relativeFrom="margin">
              <wp14:pctHeight>0</wp14:pctHeight>
            </wp14:sizeRelV>
          </wp:anchor>
        </w:drawing>
      </w:r>
      <w:r w:rsidR="008F5BC4">
        <w:rPr>
          <w:noProof/>
          <w:lang w:eastAsia="fr-FR"/>
        </w:rPr>
        <mc:AlternateContent>
          <mc:Choice Requires="wps">
            <w:drawing>
              <wp:anchor distT="0" distB="0" distL="114300" distR="114300" simplePos="0" relativeHeight="251656704" behindDoc="0" locked="0" layoutInCell="1" allowOverlap="1" wp14:anchorId="42078A63" wp14:editId="3654E06A">
                <wp:simplePos x="0" y="0"/>
                <wp:positionH relativeFrom="column">
                  <wp:posOffset>-918845</wp:posOffset>
                </wp:positionH>
                <wp:positionV relativeFrom="paragraph">
                  <wp:posOffset>-899795</wp:posOffset>
                </wp:positionV>
                <wp:extent cx="371475" cy="10706100"/>
                <wp:effectExtent l="0" t="0" r="9525" b="0"/>
                <wp:wrapNone/>
                <wp:docPr id="5" name="Rectangle 5"/>
                <wp:cNvGraphicFramePr/>
                <a:graphic xmlns:a="http://schemas.openxmlformats.org/drawingml/2006/main">
                  <a:graphicData uri="http://schemas.microsoft.com/office/word/2010/wordprocessingShape">
                    <wps:wsp>
                      <wps:cNvSpPr/>
                      <wps:spPr>
                        <a:xfrm>
                          <a:off x="0" y="0"/>
                          <a:ext cx="371475" cy="10706100"/>
                        </a:xfrm>
                        <a:prstGeom prst="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l="100000" b="100000"/>
                          </a:path>
                          <a:tileRect t="-100000" r="-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7FB5BE" id="Rectangle 5" o:spid="_x0000_s1026" style="position:absolute;margin-left:-72.35pt;margin-top:-70.85pt;width:29.25pt;height:843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4PqEgMAAE4HAAAOAAAAZHJzL2Uyb0RvYy54bWysVVtP2zAUfp+0/2D5HZKWFraKFCEQ0yQG&#10;CJh4No7TWHJsz3Zp2a/fZzsJjCE2ob04x+fu71xyeLTtFHkQzkujKzrZLSkRmpta6lVFv9+e7Xyi&#10;xAema6aMFhV9FJ4eLT9+ONzYhZia1qhaOAIn2i82tqJtCHZRFJ63omN+11ihIWyM61jA1a2K2rEN&#10;vHeqmJblfrExrrbOcOE9uKdZSJfJf9MIHi6bxotAVEWRW0inS+d9PIvlIVusHLOt5H0a7B1ZdExq&#10;BB1dnbLAyNrJP1x1kjvjTRN2uekK0zSSi/QGvGZSvnjNTcusSG8BON6OMPn/55ZfPFw5IuuKzinR&#10;rEOJrgEa0yslyDzCs7F+Aa0be+X6mwcZ37ptXBe/eAXZJkgfR0jFNhAO5t7BZHYA1xyiSXlQ7k/K&#10;BHrxZG6dD1+E6UgkKuoQPkHJHs59QEioDio9wvWZVIo0SqJhNNqKEmfCnQxtAgyBcik87JOFJ9YA&#10;szKxU2uJE+XIA0NTMM6FDtkiSB0yd3+/zHmyhWfhm6kzexLZQ/6jo5Tiyj8PNU96kTNqvRVuNoNB&#10;7sV3hQOoMa9/jjfde088FGI1YGpZaEk8Ksql4yq2KVs0qMutiQ0U563PimDQerKvJsyidpBKJF1U&#10;fWdQxmwOdNbGcKZ6Rwul46lNrH+WRk4RWzQ3ZaLCoxJZ+1o06G204fRv2PiW1SKXKNcuux+rl2qs&#10;NBxGz/Gdo+/cO6Pm73XObnr9aCrSUhqN3yxaNh4tUmSjw2jcSW3cay9TaOg+ctYfQMrQRJTuTf2I&#10;ycfgpMn1lp9JzN858+GKOexAbEvs9XCJo1FmU1HTU5S0xv18jR/1sZogpWSDnVpR/2PNHOZTfdUY&#10;wM+T2Swu4XSZzQ+muLjnkvvnEr3uTkxsI/xBLE9k1A9qIBtnujus/+MYFSKmOWKjIYMbLicBd4jw&#10;A+Hi+DjRWLxo3HN9Y/mwKuJ+ud3eMWf7JRSwvy7MsH/Z4sUuyrqxHtocr4NpZFpUT7j2eGNpp8bp&#10;fzDxr/D8nrSefoPLXwAAAP//AwBQSwMEFAAGAAgAAAAhAM6v1rDhAAAADgEAAA8AAABkcnMvZG93&#10;bnJldi54bWxMj8FOwzAMhu9IvENkJG5d2hHGVJpOE6gXxAHGJODmtaapaJKqybry9hgucPstf/r9&#10;udjMthcTjaHzTkO2SEGQq33TuVbD/qVK1iBCRNdg7x1p+KIAm/L8rMC88Sf3TNMutoJLXMhRg4lx&#10;yKUMtSGLYeEHcrz78KPFyOPYymbEE5fbXi7TdCUtdo4vGBzozlD9uTtaDVV3/5ZV20eJD9UUjHp/&#10;ivvXVuvLi3l7CyLSHP9g+NFndSjZ6eCPrgmi15BkSt0w+5syTswk69USxIHha6WuQJaF/P9G+Q0A&#10;AP//AwBQSwECLQAUAAYACAAAACEAtoM4kv4AAADhAQAAEwAAAAAAAAAAAAAAAAAAAAAAW0NvbnRl&#10;bnRfVHlwZXNdLnhtbFBLAQItABQABgAIAAAAIQA4/SH/1gAAAJQBAAALAAAAAAAAAAAAAAAAAC8B&#10;AABfcmVscy8ucmVsc1BLAQItABQABgAIAAAAIQASe4PqEgMAAE4HAAAOAAAAAAAAAAAAAAAAAC4C&#10;AABkcnMvZTJvRG9jLnhtbFBLAQItABQABgAIAAAAIQDOr9aw4QAAAA4BAAAPAAAAAAAAAAAAAAAA&#10;AGwFAABkcnMvZG93bnJldi54bWxQSwUGAAAAAAQABADzAAAAegYAAAAA&#10;" fillcolor="#8aabd3 [2132]" stroked="f" strokeweight="2pt">
                <v:fill color2="#d6e2f0 [756]" rotate="t" focusposition="1" focussize="" colors="0 #9ab5e4;.5 #c2d1ed;1 #e1e8f5" focus="100%" type="gradientRadial"/>
              </v:rect>
            </w:pict>
          </mc:Fallback>
        </mc:AlternateContent>
      </w:r>
      <w:r w:rsidR="008B7212">
        <w:rPr>
          <w:sz w:val="48"/>
          <w:szCs w:val="48"/>
        </w:rPr>
        <w:t>R</w:t>
      </w:r>
      <w:r w:rsidR="008B7212" w:rsidRPr="008B7212">
        <w:rPr>
          <w:sz w:val="44"/>
          <w:szCs w:val="44"/>
        </w:rPr>
        <w:t>écurrences lexico-sémantiques dans les titres</w:t>
      </w:r>
    </w:p>
    <w:p w:rsidR="001F3FB4" w:rsidRDefault="00EB6341" w:rsidP="00D74396">
      <w:pPr>
        <w:pStyle w:val="Titre1"/>
      </w:pPr>
      <w:r>
        <w:t xml:space="preserve">I. </w:t>
      </w:r>
      <w:r w:rsidR="001F3FB4" w:rsidRPr="00D74396">
        <w:t>Problématique</w:t>
      </w:r>
      <w:r w:rsidR="001F3FB4">
        <w:t xml:space="preserve"> de recherche</w:t>
      </w:r>
    </w:p>
    <w:p w:rsidR="00FE30F9" w:rsidRDefault="00EE7541" w:rsidP="00EE7541">
      <w:pPr>
        <w:jc w:val="both"/>
      </w:pPr>
      <w:r>
        <w:t>Un titre de document scientifique est un emplacement singulier</w:t>
      </w:r>
      <w:r w:rsidR="00C67020">
        <w:t xml:space="preserve"> d’une importance cruciale</w:t>
      </w:r>
      <w:r>
        <w:t xml:space="preserve">. D’une part, </w:t>
      </w:r>
      <w:r w:rsidR="00C67020">
        <w:t>il s’agit d’un texte très court</w:t>
      </w:r>
      <w:r w:rsidR="00537C4F">
        <w:t xml:space="preserve"> d’une dizaine de mots</w:t>
      </w:r>
      <w:r w:rsidR="00C67020">
        <w:t xml:space="preserve">. D’autre part, </w:t>
      </w:r>
      <w:r>
        <w:t xml:space="preserve">il est le premier contact entre le document et </w:t>
      </w:r>
      <w:r w:rsidR="004D1281">
        <w:t>l</w:t>
      </w:r>
      <w:r>
        <w:t>es lecteurs et</w:t>
      </w:r>
      <w:r w:rsidR="004D1281">
        <w:t>,</w:t>
      </w:r>
      <w:r>
        <w:t xml:space="preserve"> </w:t>
      </w:r>
      <w:r w:rsidR="004D1281">
        <w:t>dans 92 % des cas, le dernier (</w:t>
      </w:r>
      <w:r w:rsidR="004D1281" w:rsidRPr="00C67020">
        <w:t>Mabe et Amin</w:t>
      </w:r>
      <w:r w:rsidR="004D1281">
        <w:t xml:space="preserve">, </w:t>
      </w:r>
      <w:r w:rsidR="004D1281" w:rsidRPr="00C67020">
        <w:t>2002)</w:t>
      </w:r>
      <w:r w:rsidR="004D1281">
        <w:t>.</w:t>
      </w:r>
      <w:r w:rsidR="00C67020">
        <w:t xml:space="preserve"> </w:t>
      </w:r>
      <w:r w:rsidR="004D1281">
        <w:t>La lecture du</w:t>
      </w:r>
      <w:r w:rsidR="00C67020">
        <w:t xml:space="preserve"> titre </w:t>
      </w:r>
      <w:r w:rsidR="004D1281">
        <w:t xml:space="preserve">seul, </w:t>
      </w:r>
      <w:r w:rsidR="00C67020">
        <w:t>indépendamment du document titré</w:t>
      </w:r>
      <w:r w:rsidR="004D1281">
        <w:t>, permet donc au chercheur de faire l’essentiel du tri</w:t>
      </w:r>
      <w:r w:rsidR="00FE30F9">
        <w:t xml:space="preserve"> parmi la littérature scientifique</w:t>
      </w:r>
      <w:r w:rsidR="0091584B">
        <w:t>, toujours plus abondante</w:t>
      </w:r>
      <w:r w:rsidR="00FE30F9">
        <w:t>. D’où notre intérêt pour l’information contenue dans le titre, quels mots et quelles structures sont utilisés pour la convoyer.</w:t>
      </w:r>
    </w:p>
    <w:p w:rsidR="00FE30F9" w:rsidRDefault="00FE30F9" w:rsidP="00FE30F9">
      <w:pPr>
        <w:jc w:val="both"/>
      </w:pPr>
      <w:r>
        <w:t>Poursuivant nos travaux de première année, nous voulons mettre au jour, dans un grand corpus de titres de travaux scientifiques de langue française, des récurrences lexico-syntaxiques et</w:t>
      </w:r>
      <w:r w:rsidR="00F2232D">
        <w:t xml:space="preserve"> leurs</w:t>
      </w:r>
      <w:r>
        <w:t xml:space="preserve"> sémantiques</w:t>
      </w:r>
      <w:r w:rsidR="00F2232D">
        <w:t xml:space="preserve"> associées</w:t>
      </w:r>
      <w:r>
        <w:t>. Nous voulons également étudier comment ces récurrences se répartissent entre les différentes disciplines scientifiques, des travaux antérieurs montrant l’existence de spécificités</w:t>
      </w:r>
      <w:r w:rsidR="00F2232D">
        <w:t xml:space="preserve"> disciplinaires</w:t>
      </w:r>
      <w:r w:rsidR="0091584B">
        <w:t xml:space="preserve"> (Soler, 2011 pour l’anglais, Tanguy et Rebeyrolle, à paraître, pour le français)</w:t>
      </w:r>
      <w:r>
        <w:t>.</w:t>
      </w:r>
      <w:r w:rsidR="007E4CE6">
        <w:t xml:space="preserve"> La principale différence méthodologie avec notre travail précédent est l’apport central de l’analyse syntaxique en dépendance (</w:t>
      </w:r>
      <w:proofErr w:type="spellStart"/>
      <w:r w:rsidR="00A57286" w:rsidRPr="00A57286">
        <w:t>Schwischay</w:t>
      </w:r>
      <w:proofErr w:type="spellEnd"/>
      <w:r w:rsidR="00A57286" w:rsidRPr="00A57286">
        <w:t>, 2001</w:t>
      </w:r>
      <w:r w:rsidR="007E4CE6">
        <w:t xml:space="preserve">) </w:t>
      </w:r>
      <w:r w:rsidR="00A57286">
        <w:t xml:space="preserve">définie par </w:t>
      </w:r>
      <w:proofErr w:type="spellStart"/>
      <w:r w:rsidR="00A57286">
        <w:t>Tesnière</w:t>
      </w:r>
      <w:proofErr w:type="spellEnd"/>
      <w:r w:rsidR="00A57286">
        <w:t xml:space="preserve"> </w:t>
      </w:r>
      <w:r w:rsidR="007E4CE6">
        <w:t>pour l’analyse des titres.</w:t>
      </w:r>
    </w:p>
    <w:p w:rsidR="00CD54A5" w:rsidRDefault="00EA5D83" w:rsidP="00EA5D83">
      <w:pPr>
        <w:jc w:val="both"/>
      </w:pPr>
      <w:r>
        <w:t xml:space="preserve">Nous nous intéressons en premier à la nature syntaxique des titres. </w:t>
      </w:r>
      <w:proofErr w:type="spellStart"/>
      <w:r>
        <w:t>Leech</w:t>
      </w:r>
      <w:proofErr w:type="spellEnd"/>
      <w:r>
        <w:t xml:space="preserve"> (2000) et nos premières observations manuelles indiquent que les titres sont en majorité des syntagmes nominaux. Lexicalement, nous nous sommes intéressés aux noms noyaux de ces syntagmes. E</w:t>
      </w:r>
      <w:r w:rsidR="00A46C07">
        <w:t xml:space="preserve">n premier </w:t>
      </w:r>
      <w:r>
        <w:t>pour</w:t>
      </w:r>
      <w:r w:rsidR="00A46C07">
        <w:t xml:space="preserve"> chercher l’existence d’</w:t>
      </w:r>
      <w:r w:rsidR="00CD54A5">
        <w:t xml:space="preserve">un vocabulaire </w:t>
      </w:r>
      <w:r w:rsidR="00A46C07">
        <w:t>académique transdisciplinaire</w:t>
      </w:r>
      <w:r w:rsidR="00CD54A5">
        <w:t xml:space="preserve"> </w:t>
      </w:r>
      <w:r w:rsidR="00A46C07">
        <w:t>des titres</w:t>
      </w:r>
      <w:r>
        <w:t xml:space="preserve"> et le comparer au vocabulaire </w:t>
      </w:r>
      <w:r w:rsidR="00A46C07">
        <w:t>académique des textes (</w:t>
      </w:r>
      <w:r w:rsidR="006E4DDD">
        <w:t>Hatier et al., 2016</w:t>
      </w:r>
      <w:r w:rsidR="00A46C07">
        <w:t>)</w:t>
      </w:r>
      <w:r>
        <w:t>.</w:t>
      </w:r>
      <w:r w:rsidR="00A46C07">
        <w:t xml:space="preserve"> </w:t>
      </w:r>
      <w:r w:rsidR="00D52913">
        <w:t xml:space="preserve">En second, pour chercher à définir un trait commun aux noms les plus fréquents. Les premières observations laissent à penser que ce trait pourrait être un </w:t>
      </w:r>
      <w:r w:rsidR="00A46C07">
        <w:t>faible contenu sémantique</w:t>
      </w:r>
      <w:r w:rsidR="00D52913">
        <w:t>. La</w:t>
      </w:r>
      <w:r w:rsidR="00A46C07">
        <w:t xml:space="preserve"> question se pose </w:t>
      </w:r>
      <w:r w:rsidR="00D52913">
        <w:t xml:space="preserve">alors </w:t>
      </w:r>
      <w:r w:rsidR="00A46C07">
        <w:t xml:space="preserve">de savoir pourquoi, dans un espace où chaque mot est compté, ils y figurent et à a quelle fréquence. Syntaxiquement, </w:t>
      </w:r>
      <w:r w:rsidR="00D52913">
        <w:t>on peut s’</w:t>
      </w:r>
      <w:r w:rsidR="00A46C07">
        <w:t>interroger sur les récurrences</w:t>
      </w:r>
      <w:r w:rsidR="00D52913">
        <w:t xml:space="preserve"> d’emplois</w:t>
      </w:r>
      <w:r w:rsidR="00A46C07">
        <w:t> : position au sein du titre, type d’article ou présence de complément. Enfin, si des structures récurrentes émergeaient, nous pourrions essayer de montrer quelles informations elles convoient.</w:t>
      </w:r>
    </w:p>
    <w:p w:rsidR="00D74396" w:rsidRDefault="00D74396" w:rsidP="00FE30F9">
      <w:pPr>
        <w:jc w:val="both"/>
      </w:pPr>
      <w:r>
        <w:t>Dans ce document, nous donnons un rapide résumé de l’état de l’art avec de montrer les données et méthodes employées. Nous présentons ensuite les premiers résultats obtenus avant de proposer un échéancier pour la période finale. Une bibliographie et plusieurs annexes complètent ce document.</w:t>
      </w:r>
    </w:p>
    <w:p w:rsidR="001F3FB4" w:rsidRDefault="00EB6341" w:rsidP="00D74396">
      <w:pPr>
        <w:pStyle w:val="Titre1"/>
      </w:pPr>
      <w:r>
        <w:t xml:space="preserve">II. </w:t>
      </w:r>
      <w:r w:rsidR="001F3FB4">
        <w:t>Résumé de l’état de l’art</w:t>
      </w:r>
    </w:p>
    <w:p w:rsidR="00891F9E" w:rsidRDefault="00650E12" w:rsidP="00A46C07">
      <w:pPr>
        <w:jc w:val="both"/>
      </w:pPr>
      <w:r>
        <w:t xml:space="preserve">Pour constituer notre état de l’art, nous avons suivi la méthodologie suivante : à partir d’un petit groupe de références initiales, nous regardons les articles cités pour croiser les références données. Nous formons ainsi un réseau d’articles, chaque nœud étant un article étiqueté selon ses principales thématiques. Nous disposons ainsi d’une carte </w:t>
      </w:r>
      <w:r w:rsidR="00891F9E">
        <w:t>pour guider nos lectures, à l’aide des étiquettes et du degré de chaque nœud article.</w:t>
      </w:r>
    </w:p>
    <w:p w:rsidR="00D74396" w:rsidRDefault="0091584B" w:rsidP="00A46C07">
      <w:pPr>
        <w:jc w:val="both"/>
      </w:pPr>
      <w:r>
        <w:t xml:space="preserve">Notre état de l’art </w:t>
      </w:r>
      <w:r w:rsidR="00A46C07">
        <w:t xml:space="preserve">a </w:t>
      </w:r>
      <w:r>
        <w:t>sui</w:t>
      </w:r>
      <w:r w:rsidR="00A46C07">
        <w:t>vi</w:t>
      </w:r>
      <w:r>
        <w:t xml:space="preserve"> trois grands fils directeurs</w:t>
      </w:r>
      <w:r w:rsidR="00A46C07">
        <w:t xml:space="preserve">. Le premier concerne </w:t>
      </w:r>
      <w:r>
        <w:t>les titres</w:t>
      </w:r>
      <w:r w:rsidR="00A46C07">
        <w:t xml:space="preserve"> de travaux scientifiques. Il existe </w:t>
      </w:r>
      <w:r w:rsidR="00650E12">
        <w:t xml:space="preserve">de nombreux travaux </w:t>
      </w:r>
      <w:r w:rsidR="00A46C07">
        <w:t>sur les titres</w:t>
      </w:r>
      <w:r w:rsidR="00650E12">
        <w:t xml:space="preserve">. Certains articles didactiques donnent des conseils d’écriture. D’autres articles proposent une taxonomie des titres et de leur contenu. Des travaux testent l’incidence de la longueur du titre par rapport au nombre d’auteurs ou au nombre de </w:t>
      </w:r>
      <w:r w:rsidR="00650E12">
        <w:lastRenderedPageBreak/>
        <w:t xml:space="preserve">citations. Le second fil aborde les noms au faible contenu sémantique. Partant du concept de noms généraux définis par </w:t>
      </w:r>
      <w:r w:rsidR="00AC6ABC">
        <w:t>Halliday et Hasan</w:t>
      </w:r>
      <w:r w:rsidR="00650E12">
        <w:t xml:space="preserve"> (</w:t>
      </w:r>
      <w:r w:rsidR="00AC6ABC">
        <w:t>1976</w:t>
      </w:r>
      <w:r w:rsidR="00650E12">
        <w:t xml:space="preserve">), de nombreux travaux portent sur l’emploi de ces noms dans un contexte qui les précise. La définition de cet emploi est sujet à débat, de même que </w:t>
      </w:r>
      <w:r w:rsidR="00AC6ABC">
        <w:t>l’appellation employée pour désigner</w:t>
      </w:r>
      <w:r w:rsidR="00650E12">
        <w:t xml:space="preserve"> cet emploi.</w:t>
      </w:r>
    </w:p>
    <w:p w:rsidR="001F3FB4" w:rsidRDefault="00EB6341" w:rsidP="00D74396">
      <w:pPr>
        <w:pStyle w:val="Titre1"/>
      </w:pPr>
      <w:r>
        <w:t xml:space="preserve">III. </w:t>
      </w:r>
      <w:r w:rsidR="001F3FB4">
        <w:t>Données et méthode employées</w:t>
      </w:r>
    </w:p>
    <w:p w:rsidR="00EB6341" w:rsidRPr="00EB6341" w:rsidRDefault="00EB6341" w:rsidP="00EB6341">
      <w:pPr>
        <w:pStyle w:val="Titre2"/>
      </w:pPr>
      <w:r>
        <w:t>III.1 Origine des données</w:t>
      </w:r>
    </w:p>
    <w:p w:rsidR="0054202B" w:rsidRDefault="0054202B" w:rsidP="00EB6341">
      <w:pPr>
        <w:ind w:firstLine="708"/>
        <w:jc w:val="both"/>
      </w:pPr>
      <w:r>
        <w:t xml:space="preserve">L’accès aux titres a été grandement facilité par la création de </w:t>
      </w:r>
      <w:r w:rsidRPr="0054202B">
        <w:t>bases de données bibliographiques</w:t>
      </w:r>
      <w:r>
        <w:t xml:space="preserve">, dont celles des archives ouvertes. </w:t>
      </w:r>
      <w:r w:rsidR="00EB6341">
        <w:t xml:space="preserve">Chaque chercheur, quelle que soit sa discipline, ou documentaliste d’un centre de recherche, est libre de déposer un document sur HAL, avec l’accord des auteurs. </w:t>
      </w:r>
      <w:r>
        <w:t>Une archive ouverte présente l’avantage de centraliser l’accès aux travaux scientifiques, d’aider à leur diffusion et de les conserver manière pérenne, par rapport au site d’une institution particulière ou le site web personnel d’un chercheur, et de façon gratuite et accessible à tous, au contraire d</w:t>
      </w:r>
      <w:r w:rsidR="00EB6341">
        <w:t xml:space="preserve">u catalogue des </w:t>
      </w:r>
      <w:r>
        <w:t>grands éditeurs scientifiques.</w:t>
      </w:r>
    </w:p>
    <w:p w:rsidR="00863C36" w:rsidRDefault="00863C36" w:rsidP="00863C36">
      <w:pPr>
        <w:jc w:val="both"/>
      </w:pPr>
      <w:r>
        <w:t xml:space="preserve">Nous avons utilisé </w:t>
      </w:r>
      <w:r w:rsidR="00EA5D83">
        <w:t>le</w:t>
      </w:r>
      <w:r>
        <w:t xml:space="preserve"> corpus constitué par Tanguy et Rebeyrolle</w:t>
      </w:r>
      <w:r w:rsidR="00EB6341">
        <w:t xml:space="preserve"> (à paraître)</w:t>
      </w:r>
      <w:r w:rsidR="00EA5D83">
        <w:t xml:space="preserve"> comprenant près de </w:t>
      </w:r>
      <w:r w:rsidR="00EA5D83" w:rsidRPr="006E3FD0">
        <w:t>340</w:t>
      </w:r>
      <w:r w:rsidR="00EA5D83">
        <w:t> 000 titres</w:t>
      </w:r>
      <w:r>
        <w:t xml:space="preserve">. Pour obtenir </w:t>
      </w:r>
      <w:r w:rsidR="00EA5D83">
        <w:t xml:space="preserve">une si </w:t>
      </w:r>
      <w:r>
        <w:t>grande quantité</w:t>
      </w:r>
      <w:r w:rsidR="00EB6341">
        <w:t xml:space="preserve"> de titres français</w:t>
      </w:r>
      <w:r>
        <w:t xml:space="preserve">, ils se sont tournés vers l’archive ouverte </w:t>
      </w:r>
      <w:r w:rsidRPr="00EB6341">
        <w:rPr>
          <w:b/>
        </w:rPr>
        <w:t>Hyper Article en Ligne</w:t>
      </w:r>
      <w:r w:rsidRPr="00EB6341">
        <w:rPr>
          <w:b/>
          <w:sz w:val="14"/>
          <w:szCs w:val="14"/>
        </w:rPr>
        <w:t xml:space="preserve"> </w:t>
      </w:r>
      <w:r w:rsidRPr="00EB6341">
        <w:rPr>
          <w:b/>
        </w:rPr>
        <w:t>(HAL)</w:t>
      </w:r>
      <w:r>
        <w:t xml:space="preserve"> (Nivard, 2010). </w:t>
      </w:r>
      <w:r w:rsidR="006E3FD0">
        <w:t>Cette archive</w:t>
      </w:r>
      <w:r>
        <w:t xml:space="preserve"> fonctionne depuis 2001 et est gérée par le Centre pour la Communication Scientifique directe du Centre National pour la Recherche Scientifique (CNRS). </w:t>
      </w:r>
      <w:r w:rsidR="00EB6341">
        <w:t xml:space="preserve">Plusieurs institutions, dont le CNRS, encourage le dépôt </w:t>
      </w:r>
      <w:proofErr w:type="gramStart"/>
      <w:r w:rsidR="00EB6341">
        <w:t>sur</w:t>
      </w:r>
      <w:proofErr w:type="gramEnd"/>
      <w:r w:rsidR="00EB6341">
        <w:t xml:space="preserve"> HAL des travaux produits par leurs chercheurs, garantissant un nombre important de titres issus de plusieurs disciplines scientifiques.</w:t>
      </w:r>
    </w:p>
    <w:p w:rsidR="00EB6341" w:rsidRDefault="00EB6341" w:rsidP="00EB6341">
      <w:pPr>
        <w:pStyle w:val="Titre2"/>
      </w:pPr>
      <w:r>
        <w:t>III.2 Description des données</w:t>
      </w:r>
    </w:p>
    <w:p w:rsidR="006E3FD0" w:rsidRDefault="00EA5D83" w:rsidP="006E3FD0">
      <w:r>
        <w:t>Chaque titre est</w:t>
      </w:r>
      <w:r w:rsidR="006E3FD0">
        <w:t xml:space="preserve"> </w:t>
      </w:r>
      <w:r w:rsidR="006E3FD0" w:rsidRPr="006E3FD0">
        <w:t>fourni</w:t>
      </w:r>
      <w:r w:rsidR="006E3FD0">
        <w:t xml:space="preserve"> </w:t>
      </w:r>
      <w:r>
        <w:t>avec l</w:t>
      </w:r>
      <w:r w:rsidR="006E3FD0">
        <w:t>es informations supplémentaires</w:t>
      </w:r>
      <w:r>
        <w:t xml:space="preserve"> suivantes</w:t>
      </w:r>
      <w:r w:rsidR="006E3FD0">
        <w:t> relatives au document titré :</w:t>
      </w:r>
    </w:p>
    <w:p w:rsidR="006E3FD0" w:rsidRDefault="006E3FD0" w:rsidP="006E3FD0">
      <w:pPr>
        <w:pStyle w:val="Paragraphedeliste"/>
        <w:numPr>
          <w:ilvl w:val="0"/>
          <w:numId w:val="1"/>
        </w:numPr>
      </w:pPr>
      <w:r>
        <w:t>Le nombre d’auteurs</w:t>
      </w:r>
    </w:p>
    <w:p w:rsidR="006E3FD0" w:rsidRDefault="006E3FD0" w:rsidP="006E3FD0">
      <w:pPr>
        <w:pStyle w:val="Paragraphedeliste"/>
        <w:numPr>
          <w:ilvl w:val="0"/>
          <w:numId w:val="1"/>
        </w:numPr>
      </w:pPr>
      <w:r>
        <w:t>Le type de document</w:t>
      </w:r>
    </w:p>
    <w:p w:rsidR="006E3FD0" w:rsidRDefault="006E3FD0" w:rsidP="006E3FD0">
      <w:pPr>
        <w:pStyle w:val="Paragraphedeliste"/>
        <w:numPr>
          <w:ilvl w:val="0"/>
          <w:numId w:val="1"/>
        </w:numPr>
      </w:pPr>
      <w:r>
        <w:t>L’année de publication</w:t>
      </w:r>
    </w:p>
    <w:p w:rsidR="00CF65D8" w:rsidRDefault="006E3FD0" w:rsidP="006E3FD0">
      <w:pPr>
        <w:pStyle w:val="Paragraphedeliste"/>
        <w:numPr>
          <w:ilvl w:val="0"/>
          <w:numId w:val="1"/>
        </w:numPr>
      </w:pPr>
      <w:r>
        <w:t>Le domaine scientifique</w:t>
      </w:r>
    </w:p>
    <w:p w:rsidR="006E3FD0" w:rsidRDefault="006E3FD0" w:rsidP="00CF65D8">
      <w:pPr>
        <w:jc w:val="both"/>
      </w:pPr>
      <w:r>
        <w:t>HAL permet d’attribuer plusieurs domaines à un document. Les domaines sont organisés en arbre, néanmoins la granularité des branches est très variable</w:t>
      </w:r>
      <w:r w:rsidR="00CF65D8">
        <w:t> : « </w:t>
      </w:r>
      <w:r w:rsidR="00CF65D8" w:rsidRPr="00CF65D8">
        <w:t>Sciences de l'Homme et Société</w:t>
      </w:r>
      <w:r w:rsidR="00CF65D8">
        <w:t xml:space="preserve"> » est une </w:t>
      </w:r>
      <w:r w:rsidR="002972A7">
        <w:t xml:space="preserve">des </w:t>
      </w:r>
      <w:r w:rsidR="00CF65D8">
        <w:t>racine</w:t>
      </w:r>
      <w:r w:rsidR="002972A7">
        <w:t>s</w:t>
      </w:r>
      <w:r w:rsidR="00CF65D8">
        <w:t xml:space="preserve"> de l’arbre, </w:t>
      </w:r>
      <w:r w:rsidR="002972A7">
        <w:t>regroupant de nombreuses disciplines scientifiques,</w:t>
      </w:r>
      <w:r w:rsidR="00CF65D8">
        <w:t xml:space="preserve"> </w:t>
      </w:r>
      <w:r w:rsidR="002972A7">
        <w:t xml:space="preserve">tout </w:t>
      </w:r>
      <w:r w:rsidR="00CF65D8">
        <w:t>comme « </w:t>
      </w:r>
      <w:r w:rsidR="00CF65D8" w:rsidRPr="00CF65D8">
        <w:t>Science non linéaire</w:t>
      </w:r>
      <w:r w:rsidR="00CF65D8">
        <w:t> » et « É</w:t>
      </w:r>
      <w:r w:rsidR="00CF65D8" w:rsidRPr="00CF65D8">
        <w:t>conomie et finance quantitative</w:t>
      </w:r>
      <w:r w:rsidR="00CF65D8">
        <w:t xml:space="preserve"> ». </w:t>
      </w:r>
      <w:r>
        <w:t xml:space="preserve">Tanguy et Rebeyrolle </w:t>
      </w:r>
      <w:r w:rsidR="00CF65D8">
        <w:t>(à paraître) propose une méthode de recodage des domaines pour n’en garder qu’un seul, le plus important et discriminant</w:t>
      </w:r>
      <w:r w:rsidR="002972A7">
        <w:t>, que nous avons également utilisée.</w:t>
      </w:r>
    </w:p>
    <w:p w:rsidR="002972A7" w:rsidRDefault="002972A7" w:rsidP="00CF65D8">
      <w:pPr>
        <w:jc w:val="both"/>
      </w:pPr>
      <w:r>
        <w:t xml:space="preserve">Les titres ont été analysé à l’aide du logiciel Talismane </w:t>
      </w:r>
      <w:r w:rsidRPr="002972A7">
        <w:t>(Urieli et Tanguy, 2013)</w:t>
      </w:r>
      <w:r>
        <w:t xml:space="preserve"> qui fournit un découpage en différents éléments, nous regroupons par ce terme les mots et les signes de ponctuation, un étiquetage morphosyntaxique des mots et une analyse </w:t>
      </w:r>
      <w:r w:rsidR="00DC4A86">
        <w:t xml:space="preserve">syntaxique </w:t>
      </w:r>
      <w:r>
        <w:t>en dépendance</w:t>
      </w:r>
      <w:r w:rsidR="00DC4A86">
        <w:t>s</w:t>
      </w:r>
      <w:r>
        <w:t xml:space="preserve"> des éléments. Pour chaque </w:t>
      </w:r>
      <w:r w:rsidR="00DC4A86">
        <w:t>élément</w:t>
      </w:r>
      <w:r>
        <w:t xml:space="preserve"> du titre nous avons :</w:t>
      </w:r>
    </w:p>
    <w:p w:rsidR="00DC4A86" w:rsidRDefault="00DC4A86" w:rsidP="002972A7">
      <w:pPr>
        <w:pStyle w:val="Paragraphedeliste"/>
        <w:numPr>
          <w:ilvl w:val="0"/>
          <w:numId w:val="2"/>
        </w:numPr>
        <w:jc w:val="both"/>
      </w:pPr>
      <w:r>
        <w:t>Sa forme dans le titre</w:t>
      </w:r>
    </w:p>
    <w:p w:rsidR="002972A7" w:rsidRDefault="00DC4A86" w:rsidP="002972A7">
      <w:pPr>
        <w:pStyle w:val="Paragraphedeliste"/>
        <w:numPr>
          <w:ilvl w:val="0"/>
          <w:numId w:val="2"/>
        </w:numPr>
        <w:jc w:val="both"/>
      </w:pPr>
      <w:r>
        <w:t>Son lemme (égale à sa forme pour les signes de ponctuation)</w:t>
      </w:r>
    </w:p>
    <w:p w:rsidR="00DC4A86" w:rsidRDefault="00DC4A86" w:rsidP="002972A7">
      <w:pPr>
        <w:pStyle w:val="Paragraphedeliste"/>
        <w:numPr>
          <w:ilvl w:val="0"/>
          <w:numId w:val="2"/>
        </w:numPr>
        <w:jc w:val="both"/>
      </w:pPr>
      <w:r>
        <w:t>Sa catégorie morphosyntaxique/classe grammaticale (ou ‘PONCT’ pour les signes)</w:t>
      </w:r>
    </w:p>
    <w:p w:rsidR="00DC4A86" w:rsidRDefault="00DC4A86" w:rsidP="002972A7">
      <w:pPr>
        <w:pStyle w:val="Paragraphedeliste"/>
        <w:numPr>
          <w:ilvl w:val="0"/>
          <w:numId w:val="2"/>
        </w:numPr>
        <w:jc w:val="both"/>
      </w:pPr>
      <w:r>
        <w:lastRenderedPageBreak/>
        <w:t>Des informations complémentaires dépendantes de la catégorie, comme le genre pour les noms, le mode et le temps pour les verbes</w:t>
      </w:r>
    </w:p>
    <w:p w:rsidR="00DC4A86" w:rsidRDefault="00DC4A86" w:rsidP="002972A7">
      <w:pPr>
        <w:pStyle w:val="Paragraphedeliste"/>
        <w:numPr>
          <w:ilvl w:val="0"/>
          <w:numId w:val="2"/>
        </w:numPr>
        <w:jc w:val="both"/>
      </w:pPr>
      <w:r>
        <w:t>Son élément régisseur</w:t>
      </w:r>
    </w:p>
    <w:p w:rsidR="00DC4A86" w:rsidRDefault="00DC4A86" w:rsidP="002972A7">
      <w:pPr>
        <w:pStyle w:val="Paragraphedeliste"/>
        <w:numPr>
          <w:ilvl w:val="0"/>
          <w:numId w:val="2"/>
        </w:numPr>
        <w:jc w:val="both"/>
      </w:pPr>
      <w:r>
        <w:t>Son type de dépendance</w:t>
      </w:r>
    </w:p>
    <w:p w:rsidR="0091584B" w:rsidRDefault="0091584B" w:rsidP="0091584B">
      <w:pPr>
        <w:jc w:val="both"/>
      </w:pPr>
      <w:r>
        <w:t>Les titres sont des textes très travaillés qui ne nécessitent pas de prétraitement pour corriger les fautes d’orthographe ou une grammaire défaillante.</w:t>
      </w:r>
    </w:p>
    <w:p w:rsidR="00C934E3" w:rsidRDefault="00C934E3" w:rsidP="00C934E3">
      <w:pPr>
        <w:pStyle w:val="Titre2"/>
      </w:pPr>
      <w:r>
        <w:t>III.3 Méthode employée</w:t>
      </w:r>
    </w:p>
    <w:p w:rsidR="007E4CE6" w:rsidRDefault="004F7CFD" w:rsidP="00C934E3">
      <w:pPr>
        <w:jc w:val="both"/>
      </w:pPr>
      <w:r>
        <w:t>Dans un premier temps, nous avons analysé les titres selon trois axes</w:t>
      </w:r>
      <w:r w:rsidR="00AC6ABC">
        <w:t> : parties, segments et racines</w:t>
      </w:r>
      <w:r>
        <w:t>.</w:t>
      </w:r>
      <w:r w:rsidR="00AC6ABC">
        <w:t xml:space="preserve"> </w:t>
      </w:r>
      <w:r w:rsidR="00C934E3">
        <w:t xml:space="preserve">Talismane </w:t>
      </w:r>
      <w:r w:rsidR="008C3276">
        <w:t>considère</w:t>
      </w:r>
      <w:r w:rsidR="007E4CE6">
        <w:t>, de façon erronée,</w:t>
      </w:r>
      <w:r w:rsidR="008C3276">
        <w:t xml:space="preserve"> certains titres comme ayant plusieurs paragraphes et son analyse de dépendance est effectuée paragraphe par paragraphe. </w:t>
      </w:r>
      <w:r w:rsidR="007E4CE6">
        <w:t>Nous préférons l</w:t>
      </w:r>
      <w:r w:rsidR="00AC6ABC">
        <w:t xml:space="preserve">’appellation de </w:t>
      </w:r>
      <w:r w:rsidR="007E4CE6">
        <w:t xml:space="preserve">parties à </w:t>
      </w:r>
      <w:r w:rsidR="00A57286">
        <w:t>celle</w:t>
      </w:r>
      <w:r w:rsidR="007E4CE6">
        <w:t xml:space="preserve"> de </w:t>
      </w:r>
      <w:r w:rsidR="00AC6ABC">
        <w:t>paragraphes</w:t>
      </w:r>
      <w:r w:rsidR="007E4CE6">
        <w:t>.</w:t>
      </w:r>
      <w:r w:rsidR="00AC6ABC">
        <w:t xml:space="preserve"> Nous avons ensuite découpé les titres en segments en reprenant les délimiteurs d’Anthony (2001) : le double-point, le point-virgule et les différents points. Nous avons néanmoins écarté des délimiteurs le tiret car il sert en français dans les mots composés.</w:t>
      </w:r>
    </w:p>
    <w:p w:rsidR="007E4CE6" w:rsidRDefault="007E4CE6" w:rsidP="00C934E3">
      <w:pPr>
        <w:jc w:val="both"/>
      </w:pPr>
      <w:r>
        <w:t xml:space="preserve">Nous avons ensuite étudié les deux dimensions ensemble pour </w:t>
      </w:r>
      <w:r w:rsidR="00A57286">
        <w:t>rassembler les combinaisons les plus nombreuses dans le cadre d’une analyse par segmentation</w:t>
      </w:r>
      <w:r w:rsidR="0061251D">
        <w:t xml:space="preserve"> des données</w:t>
      </w:r>
      <w:r w:rsidR="00A57286">
        <w:t>.</w:t>
      </w:r>
    </w:p>
    <w:tbl>
      <w:tblPr>
        <w:tblStyle w:val="Grilledutableau"/>
        <w:tblpPr w:leftFromText="141" w:rightFromText="141" w:vertAnchor="text" w:tblpY="1"/>
        <w:tblOverlap w:val="never"/>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526"/>
        <w:gridCol w:w="1417"/>
        <w:gridCol w:w="1417"/>
        <w:gridCol w:w="1417"/>
      </w:tblGrid>
      <w:tr w:rsidR="00E36D46" w:rsidTr="00201BBC">
        <w:tc>
          <w:tcPr>
            <w:tcW w:w="1526" w:type="dxa"/>
            <w:shd w:val="clear" w:color="auto" w:fill="DBE5F1" w:themeFill="accent1" w:themeFillTint="33"/>
            <w:vAlign w:val="center"/>
          </w:tcPr>
          <w:p w:rsidR="00E36D46" w:rsidRDefault="00E36D46" w:rsidP="007B1847">
            <w:pPr>
              <w:jc w:val="center"/>
            </w:pPr>
            <w:r>
              <w:t>Nombre de parties</w:t>
            </w:r>
          </w:p>
        </w:tc>
        <w:tc>
          <w:tcPr>
            <w:tcW w:w="1417" w:type="dxa"/>
            <w:shd w:val="clear" w:color="auto" w:fill="DBE5F1" w:themeFill="accent1" w:themeFillTint="33"/>
            <w:vAlign w:val="center"/>
          </w:tcPr>
          <w:p w:rsidR="00E36D46" w:rsidRDefault="00E36D46" w:rsidP="007B1847">
            <w:pPr>
              <w:jc w:val="center"/>
            </w:pPr>
            <w:r>
              <w:t>Nombre de segments</w:t>
            </w:r>
          </w:p>
        </w:tc>
        <w:tc>
          <w:tcPr>
            <w:tcW w:w="1417" w:type="dxa"/>
            <w:shd w:val="clear" w:color="auto" w:fill="DBE5F1" w:themeFill="accent1" w:themeFillTint="33"/>
          </w:tcPr>
          <w:p w:rsidR="00E36D46" w:rsidRDefault="00E36D46" w:rsidP="007B1847">
            <w:pPr>
              <w:jc w:val="center"/>
            </w:pPr>
            <w:r>
              <w:t>Nombre de titres</w:t>
            </w:r>
          </w:p>
        </w:tc>
        <w:tc>
          <w:tcPr>
            <w:tcW w:w="1417" w:type="dxa"/>
            <w:shd w:val="clear" w:color="auto" w:fill="DBE5F1" w:themeFill="accent1" w:themeFillTint="33"/>
            <w:vAlign w:val="center"/>
          </w:tcPr>
          <w:p w:rsidR="00E36D46" w:rsidRDefault="00E36D46" w:rsidP="007B1847">
            <w:pPr>
              <w:jc w:val="center"/>
            </w:pPr>
            <w:r>
              <w:t>Pourcentage des titres</w:t>
            </w:r>
          </w:p>
        </w:tc>
      </w:tr>
      <w:tr w:rsidR="00E36D46" w:rsidTr="00201BBC">
        <w:tc>
          <w:tcPr>
            <w:tcW w:w="1526" w:type="dxa"/>
            <w:vAlign w:val="center"/>
          </w:tcPr>
          <w:p w:rsidR="00E36D46" w:rsidRDefault="00E36D46" w:rsidP="007B1847">
            <w:pPr>
              <w:jc w:val="center"/>
            </w:pPr>
            <w:r>
              <w:t>1</w:t>
            </w:r>
          </w:p>
        </w:tc>
        <w:tc>
          <w:tcPr>
            <w:tcW w:w="1417" w:type="dxa"/>
            <w:vAlign w:val="center"/>
          </w:tcPr>
          <w:p w:rsidR="00E36D46" w:rsidRDefault="00E36D46" w:rsidP="007B1847">
            <w:pPr>
              <w:jc w:val="center"/>
            </w:pPr>
            <w:r>
              <w:t>1</w:t>
            </w:r>
          </w:p>
        </w:tc>
        <w:tc>
          <w:tcPr>
            <w:tcW w:w="1417" w:type="dxa"/>
          </w:tcPr>
          <w:p w:rsidR="00E36D46" w:rsidRDefault="00E36D46" w:rsidP="007B1847">
            <w:pPr>
              <w:jc w:val="right"/>
            </w:pPr>
            <w:r>
              <w:t>175 915</w:t>
            </w:r>
          </w:p>
        </w:tc>
        <w:tc>
          <w:tcPr>
            <w:tcW w:w="1417" w:type="dxa"/>
            <w:vAlign w:val="center"/>
          </w:tcPr>
          <w:p w:rsidR="00E36D46" w:rsidRPr="007B1847" w:rsidRDefault="00E36D46" w:rsidP="007B1847">
            <w:pPr>
              <w:jc w:val="right"/>
            </w:pPr>
            <w:r>
              <w:t>52 %</w:t>
            </w:r>
          </w:p>
        </w:tc>
      </w:tr>
      <w:tr w:rsidR="00E36D46" w:rsidTr="00201BBC">
        <w:tc>
          <w:tcPr>
            <w:tcW w:w="1526" w:type="dxa"/>
            <w:shd w:val="clear" w:color="auto" w:fill="DBE5F1" w:themeFill="accent1" w:themeFillTint="33"/>
            <w:vAlign w:val="center"/>
          </w:tcPr>
          <w:p w:rsidR="00E36D46" w:rsidRDefault="00E36D46" w:rsidP="007B1847">
            <w:pPr>
              <w:jc w:val="center"/>
            </w:pPr>
            <w:r>
              <w:t>1</w:t>
            </w:r>
          </w:p>
        </w:tc>
        <w:tc>
          <w:tcPr>
            <w:tcW w:w="1417" w:type="dxa"/>
            <w:shd w:val="clear" w:color="auto" w:fill="DBE5F1" w:themeFill="accent1" w:themeFillTint="33"/>
            <w:vAlign w:val="center"/>
          </w:tcPr>
          <w:p w:rsidR="00E36D46" w:rsidRDefault="00E36D46" w:rsidP="007B1847">
            <w:pPr>
              <w:jc w:val="center"/>
            </w:pPr>
            <w:r>
              <w:t>2</w:t>
            </w:r>
          </w:p>
        </w:tc>
        <w:tc>
          <w:tcPr>
            <w:tcW w:w="1417" w:type="dxa"/>
            <w:shd w:val="clear" w:color="auto" w:fill="DBE5F1" w:themeFill="accent1" w:themeFillTint="33"/>
          </w:tcPr>
          <w:p w:rsidR="00E36D46" w:rsidRDefault="00E36D46" w:rsidP="007B1847">
            <w:pPr>
              <w:jc w:val="right"/>
            </w:pPr>
            <w:r>
              <w:t>98 931</w:t>
            </w:r>
          </w:p>
        </w:tc>
        <w:tc>
          <w:tcPr>
            <w:tcW w:w="1417" w:type="dxa"/>
            <w:shd w:val="clear" w:color="auto" w:fill="DBE5F1" w:themeFill="accent1" w:themeFillTint="33"/>
            <w:vAlign w:val="center"/>
          </w:tcPr>
          <w:p w:rsidR="00E36D46" w:rsidRDefault="00E36D46" w:rsidP="007B1847">
            <w:pPr>
              <w:jc w:val="right"/>
            </w:pPr>
            <w:r>
              <w:t>29 %</w:t>
            </w:r>
          </w:p>
        </w:tc>
      </w:tr>
      <w:tr w:rsidR="00E36D46" w:rsidTr="00201BBC">
        <w:tc>
          <w:tcPr>
            <w:tcW w:w="1526" w:type="dxa"/>
            <w:vAlign w:val="center"/>
          </w:tcPr>
          <w:p w:rsidR="00E36D46" w:rsidRDefault="00E36D46" w:rsidP="007B1847">
            <w:pPr>
              <w:jc w:val="center"/>
            </w:pPr>
            <w:r>
              <w:t>2</w:t>
            </w:r>
          </w:p>
        </w:tc>
        <w:tc>
          <w:tcPr>
            <w:tcW w:w="1417" w:type="dxa"/>
            <w:vAlign w:val="center"/>
          </w:tcPr>
          <w:p w:rsidR="00E36D46" w:rsidRDefault="00E36D46" w:rsidP="007B1847">
            <w:pPr>
              <w:jc w:val="center"/>
            </w:pPr>
            <w:r>
              <w:t>2</w:t>
            </w:r>
          </w:p>
        </w:tc>
        <w:tc>
          <w:tcPr>
            <w:tcW w:w="1417" w:type="dxa"/>
          </w:tcPr>
          <w:p w:rsidR="00E36D46" w:rsidRDefault="00E36D46" w:rsidP="007B1847">
            <w:pPr>
              <w:jc w:val="right"/>
            </w:pPr>
            <w:r>
              <w:t>26 077</w:t>
            </w:r>
          </w:p>
        </w:tc>
        <w:tc>
          <w:tcPr>
            <w:tcW w:w="1417" w:type="dxa"/>
            <w:vAlign w:val="center"/>
          </w:tcPr>
          <w:p w:rsidR="00E36D46" w:rsidRDefault="00E36D46" w:rsidP="007B1847">
            <w:pPr>
              <w:jc w:val="right"/>
            </w:pPr>
            <w:r>
              <w:t xml:space="preserve">  8 %</w:t>
            </w:r>
          </w:p>
        </w:tc>
      </w:tr>
      <w:tr w:rsidR="00E36D46" w:rsidTr="00201BBC">
        <w:tc>
          <w:tcPr>
            <w:tcW w:w="1526" w:type="dxa"/>
            <w:shd w:val="clear" w:color="auto" w:fill="DBE5F1" w:themeFill="accent1" w:themeFillTint="33"/>
            <w:vAlign w:val="center"/>
          </w:tcPr>
          <w:p w:rsidR="00E36D46" w:rsidRDefault="00E36D46" w:rsidP="007B1847">
            <w:pPr>
              <w:jc w:val="center"/>
            </w:pPr>
            <w:r>
              <w:t>1</w:t>
            </w:r>
          </w:p>
        </w:tc>
        <w:tc>
          <w:tcPr>
            <w:tcW w:w="1417" w:type="dxa"/>
            <w:shd w:val="clear" w:color="auto" w:fill="DBE5F1" w:themeFill="accent1" w:themeFillTint="33"/>
            <w:vAlign w:val="center"/>
          </w:tcPr>
          <w:p w:rsidR="00E36D46" w:rsidRDefault="00E36D46" w:rsidP="007B1847">
            <w:pPr>
              <w:jc w:val="center"/>
            </w:pPr>
            <w:r>
              <w:t>3</w:t>
            </w:r>
          </w:p>
        </w:tc>
        <w:tc>
          <w:tcPr>
            <w:tcW w:w="1417" w:type="dxa"/>
            <w:shd w:val="clear" w:color="auto" w:fill="DBE5F1" w:themeFill="accent1" w:themeFillTint="33"/>
          </w:tcPr>
          <w:p w:rsidR="00E36D46" w:rsidRDefault="00E36D46" w:rsidP="007B1847">
            <w:pPr>
              <w:jc w:val="right"/>
            </w:pPr>
            <w:r>
              <w:t>18 653</w:t>
            </w:r>
          </w:p>
        </w:tc>
        <w:tc>
          <w:tcPr>
            <w:tcW w:w="1417" w:type="dxa"/>
            <w:shd w:val="clear" w:color="auto" w:fill="DBE5F1" w:themeFill="accent1" w:themeFillTint="33"/>
            <w:vAlign w:val="center"/>
          </w:tcPr>
          <w:p w:rsidR="00E36D46" w:rsidRDefault="00E36D46" w:rsidP="007B1847">
            <w:pPr>
              <w:jc w:val="right"/>
            </w:pPr>
            <w:r>
              <w:t xml:space="preserve">  5 %</w:t>
            </w:r>
          </w:p>
        </w:tc>
      </w:tr>
    </w:tbl>
    <w:p w:rsidR="007B1847" w:rsidRDefault="007B1847" w:rsidP="00C934E3">
      <w:pPr>
        <w:jc w:val="both"/>
      </w:pPr>
      <w:r>
        <w:t xml:space="preserve">En cumulant les quatre premières combinaisons, nous couvrons 94 % du  corpus. </w:t>
      </w:r>
      <w:r w:rsidR="00A57DDF">
        <w:t xml:space="preserve">Nous construisons </w:t>
      </w:r>
      <w:r w:rsidR="00655BC0">
        <w:t>une dimension secondaire du titre, combinant deux dimensions primaires, que nous nommons structure</w:t>
      </w:r>
      <w:r w:rsidR="00A57DDF">
        <w:t xml:space="preserve"> et notée nombre de parties : nombre de segments.</w:t>
      </w:r>
    </w:p>
    <w:p w:rsidR="007B1847" w:rsidRDefault="00655BC0" w:rsidP="00C934E3">
      <w:pPr>
        <w:jc w:val="both"/>
      </w:pPr>
      <w:r>
        <w:t xml:space="preserve">Nous avons </w:t>
      </w:r>
      <w:r w:rsidR="0061251D">
        <w:t>mis en rapport</w:t>
      </w:r>
      <w:r>
        <w:t xml:space="preserve"> la</w:t>
      </w:r>
      <w:r w:rsidR="0061251D">
        <w:t xml:space="preserve"> </w:t>
      </w:r>
      <w:r>
        <w:t>structure avec le domaine.</w:t>
      </w:r>
    </w:p>
    <w:p w:rsidR="007B1847" w:rsidRDefault="00A57DDF" w:rsidP="00C934E3">
      <w:pPr>
        <w:jc w:val="both"/>
      </w:pPr>
      <w:r>
        <w:t>XXX MATRIX XXX</w:t>
      </w:r>
    </w:p>
    <w:p w:rsidR="00A57DDF" w:rsidRDefault="00A57DDF" w:rsidP="00C934E3">
      <w:pPr>
        <w:jc w:val="both"/>
      </w:pPr>
      <w:r>
        <w:t xml:space="preserve">Nous avons ensuite </w:t>
      </w:r>
      <w:r>
        <w:t xml:space="preserve">les combinaisons de façon indépendante. Pour l’instant notre travail a porté sur les combinaisons les plus nombreuses </w:t>
      </w:r>
      <w:r>
        <w:t>notées</w:t>
      </w:r>
      <w:r>
        <w:t xml:space="preserve"> 1:1 et 1:2</w:t>
      </w:r>
      <w:r w:rsidR="007B2FC7">
        <w:t>, couvrant 81 % du corpus</w:t>
      </w:r>
      <w:r>
        <w:t>.</w:t>
      </w:r>
      <w:r>
        <w:t xml:space="preserve"> Pour les titres de structure 1:2, une règle logique veut qu’une partie soit composée d’un ou plusieurs segments, mais un segment ne peut jamais s’étaler sur plusieurs parties, autrement dit le nombre de segments ne peut être inférieur au nombre de parties</w:t>
      </w:r>
      <w:r w:rsidR="005C42EE">
        <w:t>, mais cette condition n’est pas suffisante,</w:t>
      </w:r>
      <w:r w:rsidR="0061251D">
        <w:t xml:space="preserve"> et </w:t>
      </w:r>
      <w:r w:rsidR="005C42EE">
        <w:t xml:space="preserve">le dernier élément d’une partie suivie d’une autre partie doit </w:t>
      </w:r>
      <w:r w:rsidR="0061251D">
        <w:t>être un délimitateur de segment</w:t>
      </w:r>
      <w:r>
        <w:t xml:space="preserve">. Nous écartons 462 titres enfreignant cette règle logique, </w:t>
      </w:r>
      <w:r w:rsidR="0061251D">
        <w:t>une analyse manuelle sommaire montrant qu’ils ont des problèmes d’encodage.</w:t>
      </w:r>
    </w:p>
    <w:p w:rsidR="00B65ECD" w:rsidRDefault="0061251D" w:rsidP="0061251D">
      <w:pPr>
        <w:jc w:val="both"/>
      </w:pPr>
      <w:r>
        <w:t xml:space="preserve">Nous étudions ensuite, </w:t>
      </w:r>
      <w:r w:rsidR="00B65ECD">
        <w:t>pour</w:t>
      </w:r>
      <w:r>
        <w:t xml:space="preserve"> </w:t>
      </w:r>
      <w:r w:rsidR="00B65ECD">
        <w:t>les deux combinaisons sélectionnées,</w:t>
      </w:r>
      <w:r>
        <w:t xml:space="preserve"> les racines</w:t>
      </w:r>
      <w:r w:rsidR="00B65ECD">
        <w:t xml:space="preserve"> </w:t>
      </w:r>
      <w:r>
        <w:t xml:space="preserve">: </w:t>
      </w:r>
      <w:r w:rsidR="00AC6ABC">
        <w:t>des mots uniquement régisseurs dans l’analyse dépendentielle.</w:t>
      </w:r>
      <w:r>
        <w:t xml:space="preserve"> </w:t>
      </w:r>
      <w:r w:rsidR="00B65ECD">
        <w:t xml:space="preserve">D’abord nous étudions leur nombre. Pour </w:t>
      </w:r>
      <w:r w:rsidR="007B2FC7">
        <w:t xml:space="preserve">une structure </w:t>
      </w:r>
      <w:r w:rsidR="00B65ECD">
        <w:t xml:space="preserve">1:1, 88 % des titres ont une seule racine, 10 % en ont </w:t>
      </w:r>
      <w:r w:rsidR="007B2FC7">
        <w:t xml:space="preserve">deux. Pour une structure 1:2, 65 % des titres ont une racine et 31 % en ont deux. Il est intéressant de voir comment les racines se répartissent entre les deux segments : </w:t>
      </w:r>
    </w:p>
    <w:p w:rsidR="007C4190" w:rsidRPr="00BF25ED" w:rsidRDefault="007C4190" w:rsidP="0061251D">
      <w:pPr>
        <w:jc w:val="both"/>
        <w:rPr>
          <w:lang w:val="en-US"/>
        </w:rPr>
      </w:pPr>
      <w:r w:rsidRPr="00BF25ED">
        <w:rPr>
          <w:lang w:val="en-US"/>
        </w:rPr>
        <w:t xml:space="preserve">XXX </w:t>
      </w:r>
      <w:r w:rsidR="00BF25ED" w:rsidRPr="00BF25ED">
        <w:rPr>
          <w:lang w:val="en-US"/>
        </w:rPr>
        <w:t xml:space="preserve"> PB CALCUL NB R</w:t>
      </w:r>
      <w:r w:rsidR="00BF25ED">
        <w:rPr>
          <w:lang w:val="en-US"/>
        </w:rPr>
        <w:t>OOTS BY SEGMENTS XXX</w:t>
      </w:r>
      <w:bookmarkStart w:id="0" w:name="_GoBack"/>
      <w:bookmarkEnd w:id="0"/>
    </w:p>
    <w:p w:rsidR="00E36D46" w:rsidRPr="00E36D46" w:rsidRDefault="00E36D46" w:rsidP="0061251D">
      <w:pPr>
        <w:jc w:val="both"/>
        <w:rPr>
          <w:lang w:val="en-US"/>
        </w:rPr>
      </w:pPr>
      <w:proofErr w:type="spellStart"/>
      <w:r w:rsidRPr="00E36D46">
        <w:rPr>
          <w:lang w:val="en-US"/>
        </w:rPr>
        <w:lastRenderedPageBreak/>
        <w:t>Nb</w:t>
      </w:r>
      <w:proofErr w:type="spellEnd"/>
      <w:r w:rsidRPr="00E36D46">
        <w:rPr>
          <w:lang w:val="en-US"/>
        </w:rPr>
        <w:t xml:space="preserve"> Parts/segments </w:t>
      </w:r>
      <w:r>
        <w:sym w:font="Wingdings" w:char="F0E8"/>
      </w:r>
      <w:r w:rsidRPr="00E36D46">
        <w:rPr>
          <w:lang w:val="en-US"/>
        </w:rPr>
        <w:t xml:space="preserve"> </w:t>
      </w:r>
      <w:proofErr w:type="spellStart"/>
      <w:r w:rsidRPr="00E36D46">
        <w:rPr>
          <w:lang w:val="en-US"/>
        </w:rPr>
        <w:t>nb</w:t>
      </w:r>
      <w:proofErr w:type="spellEnd"/>
      <w:r w:rsidRPr="00E36D46">
        <w:rPr>
          <w:lang w:val="en-US"/>
        </w:rPr>
        <w:t xml:space="preserve"> roots  </w:t>
      </w:r>
      <w:r>
        <w:sym w:font="Wingdings" w:char="F0E8"/>
      </w:r>
      <w:r w:rsidRPr="00E36D46">
        <w:rPr>
          <w:lang w:val="en-US"/>
        </w:rPr>
        <w:t xml:space="preserve"> part-of</w:t>
      </w:r>
      <w:r>
        <w:rPr>
          <w:lang w:val="en-US"/>
        </w:rPr>
        <w:t xml:space="preserve">-speech </w:t>
      </w:r>
      <w:r w:rsidRPr="00E36D46">
        <w:rPr>
          <w:lang w:val="en-US"/>
        </w:rPr>
        <w:t>roots</w:t>
      </w:r>
      <w:r>
        <w:rPr>
          <w:lang w:val="en-US"/>
        </w:rPr>
        <w:t xml:space="preserve"> /</w:t>
      </w:r>
      <w:r w:rsidRPr="00E36D46">
        <w:rPr>
          <w:lang w:val="en-US"/>
        </w:rPr>
        <w:t xml:space="preserve"> position roots</w:t>
      </w:r>
      <w:r>
        <w:rPr>
          <w:lang w:val="en-US"/>
        </w:rPr>
        <w:t xml:space="preserve"> / links</w:t>
      </w:r>
    </w:p>
    <w:p w:rsidR="00B65ECD" w:rsidRPr="00E36D46" w:rsidRDefault="00B65ECD" w:rsidP="0061251D">
      <w:pPr>
        <w:jc w:val="both"/>
        <w:rPr>
          <w:lang w:val="en-US"/>
        </w:rPr>
      </w:pPr>
    </w:p>
    <w:p w:rsidR="00B65ECD" w:rsidRPr="00E36D46" w:rsidRDefault="00B65ECD" w:rsidP="0061251D">
      <w:pPr>
        <w:jc w:val="both"/>
        <w:rPr>
          <w:lang w:val="en-US"/>
        </w:rPr>
      </w:pPr>
    </w:p>
    <w:p w:rsidR="00B65ECD" w:rsidRDefault="00B65ECD" w:rsidP="0061251D">
      <w:pPr>
        <w:jc w:val="both"/>
      </w:pPr>
      <w:r>
        <w:t xml:space="preserve">D’après </w:t>
      </w:r>
      <w:proofErr w:type="spellStart"/>
      <w:r>
        <w:t>Schwischay</w:t>
      </w:r>
      <w:proofErr w:type="spellEnd"/>
      <w:r>
        <w:t xml:space="preserve"> (2001), </w:t>
      </w:r>
      <w:r w:rsidRPr="00B65ECD">
        <w:rPr>
          <w:i/>
        </w:rPr>
        <w:t>« un nœud forme avec tous les nœuds qu’il domine( directement ou indirectement) un syntagme ; et, par convention, ce syntagme porte le nom du nœud dominant »</w:t>
      </w:r>
      <w:r>
        <w:t xml:space="preserve">. Nous pouvons donc, grâce à </w:t>
      </w:r>
      <w:r>
        <w:t>la complémentarité des deux modèles</w:t>
      </w:r>
      <w:r>
        <w:t>, déterminer le type de syntagme de chaque segment est déterminer ainsi la structure syntagmatique du titre.</w:t>
      </w:r>
    </w:p>
    <w:p w:rsidR="00B65ECD" w:rsidRDefault="00B65ECD" w:rsidP="0061251D">
      <w:pPr>
        <w:jc w:val="both"/>
      </w:pPr>
      <w:r>
        <w:t xml:space="preserve"> </w:t>
      </w:r>
    </w:p>
    <w:p w:rsidR="00AC6ABC" w:rsidRDefault="0061251D" w:rsidP="0061251D">
      <w:pPr>
        <w:jc w:val="both"/>
      </w:pPr>
      <w:r>
        <w:t>Nous constitutions ainsi un lexique des racines.</w:t>
      </w:r>
    </w:p>
    <w:p w:rsidR="005A0ABA" w:rsidRDefault="005A0ABA" w:rsidP="00C934E3">
      <w:pPr>
        <w:jc w:val="both"/>
      </w:pPr>
    </w:p>
    <w:p w:rsidR="005A0ABA" w:rsidRDefault="005A0ABA" w:rsidP="00C934E3">
      <w:pPr>
        <w:jc w:val="both"/>
      </w:pPr>
      <w:r>
        <w:t>2) classifier les titres, dire que c’est essentiellement des GN ou GN : GN (partie ou segment ? Fusion des deux pour ne parler plus que de segment &amp; racine :-) Ça devrait correspondre…</w:t>
      </w:r>
    </w:p>
    <w:p w:rsidR="005A0ABA" w:rsidRDefault="005A0ABA" w:rsidP="00C934E3">
      <w:pPr>
        <w:jc w:val="both"/>
      </w:pPr>
      <w:r>
        <w:t>3) étudier le noyau/racine des GN</w:t>
      </w:r>
    </w:p>
    <w:p w:rsidR="005A0ABA" w:rsidRDefault="005A0ABA" w:rsidP="00C934E3">
      <w:pPr>
        <w:jc w:val="both"/>
      </w:pPr>
      <w:r>
        <w:t>4) transdisciplinaire ?</w:t>
      </w:r>
    </w:p>
    <w:p w:rsidR="005A0ABA" w:rsidRDefault="005A0ABA" w:rsidP="00C934E3">
      <w:pPr>
        <w:jc w:val="both"/>
      </w:pPr>
      <w:r>
        <w:t xml:space="preserve">5) quel type de nom </w:t>
      </w:r>
      <w:r>
        <w:sym w:font="Wingdings" w:char="F0E8"/>
      </w:r>
      <w:r>
        <w:t xml:space="preserve"> faible contenu </w:t>
      </w:r>
      <w:proofErr w:type="spellStart"/>
      <w:r>
        <w:t>sém</w:t>
      </w:r>
      <w:proofErr w:type="spellEnd"/>
    </w:p>
    <w:p w:rsidR="005A0ABA" w:rsidRDefault="005A0ABA" w:rsidP="00C934E3">
      <w:pPr>
        <w:jc w:val="both"/>
      </w:pPr>
      <w:r>
        <w:t>6) position, article, complément de nom ?</w:t>
      </w:r>
    </w:p>
    <w:p w:rsidR="005A0ABA" w:rsidRDefault="005A0ABA" w:rsidP="00C934E3">
      <w:pPr>
        <w:jc w:val="both"/>
      </w:pPr>
      <w:r>
        <w:t>7) essayer de mettre en relation les racines entre elles et avec les « racines de niveau 2 » : mot d’un autre segment n’ayant comme gouverneur que la racine du segment précédent.</w:t>
      </w:r>
    </w:p>
    <w:p w:rsidR="005A0ABA" w:rsidRDefault="007B2FC7" w:rsidP="00C934E3">
      <w:pPr>
        <w:jc w:val="both"/>
      </w:pPr>
      <w:r>
        <w:t>8) rajout d’exemple</w:t>
      </w:r>
    </w:p>
    <w:p w:rsidR="007B2FC7" w:rsidRDefault="007B2FC7" w:rsidP="00C934E3">
      <w:pPr>
        <w:jc w:val="both"/>
      </w:pPr>
    </w:p>
    <w:p w:rsidR="008C3276" w:rsidRDefault="00C934E3" w:rsidP="00C934E3">
      <w:pPr>
        <w:jc w:val="both"/>
      </w:pPr>
      <w:r>
        <w:t xml:space="preserve">Nous avons écarté </w:t>
      </w:r>
      <w:r w:rsidR="008C3276">
        <w:t xml:space="preserve">ces titres pluri-paragraphes, considérant que la détection de plusieurs paragraphes </w:t>
      </w:r>
      <w:r w:rsidR="004D1281">
        <w:t>s’apparente</w:t>
      </w:r>
      <w:r w:rsidR="008C3276">
        <w:t xml:space="preserve"> à une erreur. Nous avons ensuite </w:t>
      </w:r>
    </w:p>
    <w:p w:rsidR="00AC6ABC" w:rsidRDefault="00AC6ABC" w:rsidP="00C934E3">
      <w:pPr>
        <w:jc w:val="both"/>
      </w:pPr>
      <w:r>
        <w:t>déterminé la nature des titres.</w:t>
      </w:r>
    </w:p>
    <w:p w:rsidR="008C3276" w:rsidRDefault="008C3276" w:rsidP="00C934E3">
      <w:pPr>
        <w:jc w:val="both"/>
      </w:pPr>
      <w:r>
        <w:t xml:space="preserve">pour </w:t>
      </w:r>
      <w:r w:rsidR="004D1281">
        <w:t>les titres restants</w:t>
      </w:r>
    </w:p>
    <w:p w:rsidR="00C934E3" w:rsidRDefault="008C3276" w:rsidP="00C934E3">
      <w:pPr>
        <w:jc w:val="both"/>
      </w:pPr>
      <w:r>
        <w:t xml:space="preserve">  </w:t>
      </w:r>
      <w:r w:rsidR="00C934E3">
        <w:t xml:space="preserve">les titres possédant plusieurs parties, plus complexes et </w:t>
      </w:r>
      <w:r w:rsidR="00A550A5">
        <w:t>ne comptant que pour X % des titres</w:t>
      </w:r>
      <w:r w:rsidR="00C934E3">
        <w:t>.</w:t>
      </w:r>
    </w:p>
    <w:p w:rsidR="001F3FB4" w:rsidRDefault="00EB6341" w:rsidP="00D74396">
      <w:pPr>
        <w:pStyle w:val="Titre1"/>
      </w:pPr>
      <w:r>
        <w:t xml:space="preserve">IV. </w:t>
      </w:r>
      <w:r w:rsidR="001F3FB4">
        <w:t>Premiers résultats obtenus</w:t>
      </w:r>
    </w:p>
    <w:p w:rsidR="00B56D32" w:rsidRDefault="00EB6341" w:rsidP="00D74396">
      <w:pPr>
        <w:pStyle w:val="Titre1"/>
      </w:pPr>
      <w:r>
        <w:t xml:space="preserve">V. </w:t>
      </w:r>
      <w:r w:rsidR="001F3FB4">
        <w:t>Échéancier sur la période finale</w:t>
      </w:r>
    </w:p>
    <w:p w:rsidR="00482283" w:rsidRPr="00482283" w:rsidRDefault="00482283" w:rsidP="00482283">
      <w:r>
        <w:t>Nous proposons ce diagramme de Gantt pour la période finale, avec pour objectif de remettre le document finalisé le 23 juin à nos directeurs.</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401"/>
        <w:gridCol w:w="1171"/>
        <w:gridCol w:w="1172"/>
        <w:gridCol w:w="1172"/>
        <w:gridCol w:w="1172"/>
        <w:gridCol w:w="1124"/>
        <w:gridCol w:w="1067"/>
        <w:gridCol w:w="1009"/>
      </w:tblGrid>
      <w:tr w:rsidR="008A2063" w:rsidTr="008A2063">
        <w:trPr>
          <w:trHeight w:val="270"/>
        </w:trPr>
        <w:tc>
          <w:tcPr>
            <w:tcW w:w="1401" w:type="dxa"/>
            <w:shd w:val="clear" w:color="auto" w:fill="DBE5F1" w:themeFill="accent1" w:themeFillTint="33"/>
          </w:tcPr>
          <w:p w:rsidR="008A2063" w:rsidRDefault="008A2063" w:rsidP="00A46C07">
            <w:r>
              <w:t xml:space="preserve">Semaine  </w:t>
            </w:r>
            <w:r>
              <w:sym w:font="Wingdings" w:char="F0E8"/>
            </w:r>
          </w:p>
        </w:tc>
        <w:tc>
          <w:tcPr>
            <w:tcW w:w="1171" w:type="dxa"/>
            <w:vMerge w:val="restart"/>
            <w:shd w:val="clear" w:color="auto" w:fill="DBE5F1" w:themeFill="accent1" w:themeFillTint="33"/>
            <w:vAlign w:val="center"/>
          </w:tcPr>
          <w:p w:rsidR="008A2063" w:rsidRPr="00C97598" w:rsidRDefault="008A2063" w:rsidP="00C97598">
            <w:pPr>
              <w:jc w:val="center"/>
              <w:rPr>
                <w:sz w:val="20"/>
                <w:szCs w:val="20"/>
              </w:rPr>
            </w:pPr>
            <w:r w:rsidRPr="00C97598">
              <w:rPr>
                <w:sz w:val="20"/>
                <w:szCs w:val="20"/>
              </w:rPr>
              <w:t>20 – 26 mai</w:t>
            </w:r>
          </w:p>
        </w:tc>
        <w:tc>
          <w:tcPr>
            <w:tcW w:w="1172" w:type="dxa"/>
            <w:vMerge w:val="restart"/>
            <w:shd w:val="clear" w:color="auto" w:fill="DBE5F1" w:themeFill="accent1" w:themeFillTint="33"/>
            <w:vAlign w:val="center"/>
          </w:tcPr>
          <w:p w:rsidR="008A2063" w:rsidRPr="00C97598" w:rsidRDefault="008A2063" w:rsidP="00C97598">
            <w:pPr>
              <w:jc w:val="center"/>
              <w:rPr>
                <w:sz w:val="20"/>
                <w:szCs w:val="20"/>
              </w:rPr>
            </w:pPr>
            <w:r w:rsidRPr="00C97598">
              <w:rPr>
                <w:sz w:val="20"/>
                <w:szCs w:val="20"/>
              </w:rPr>
              <w:t>27 mai – 2 juin</w:t>
            </w:r>
          </w:p>
        </w:tc>
        <w:tc>
          <w:tcPr>
            <w:tcW w:w="1172" w:type="dxa"/>
            <w:vMerge w:val="restart"/>
            <w:shd w:val="clear" w:color="auto" w:fill="DBE5F1" w:themeFill="accent1" w:themeFillTint="33"/>
            <w:vAlign w:val="center"/>
          </w:tcPr>
          <w:p w:rsidR="008A2063" w:rsidRDefault="008A2063" w:rsidP="00C97598">
            <w:pPr>
              <w:jc w:val="center"/>
              <w:rPr>
                <w:sz w:val="20"/>
                <w:szCs w:val="20"/>
              </w:rPr>
            </w:pPr>
            <w:r w:rsidRPr="00C97598">
              <w:rPr>
                <w:sz w:val="20"/>
                <w:szCs w:val="20"/>
              </w:rPr>
              <w:t>3 – 9</w:t>
            </w:r>
          </w:p>
          <w:p w:rsidR="008A2063" w:rsidRPr="00C97598" w:rsidRDefault="008A2063" w:rsidP="00C97598">
            <w:pPr>
              <w:jc w:val="center"/>
              <w:rPr>
                <w:sz w:val="20"/>
                <w:szCs w:val="20"/>
              </w:rPr>
            </w:pPr>
            <w:r w:rsidRPr="00C97598">
              <w:rPr>
                <w:sz w:val="20"/>
                <w:szCs w:val="20"/>
              </w:rPr>
              <w:t>juin</w:t>
            </w:r>
          </w:p>
        </w:tc>
        <w:tc>
          <w:tcPr>
            <w:tcW w:w="1172" w:type="dxa"/>
            <w:vMerge w:val="restart"/>
            <w:shd w:val="clear" w:color="auto" w:fill="DBE5F1" w:themeFill="accent1" w:themeFillTint="33"/>
            <w:vAlign w:val="center"/>
          </w:tcPr>
          <w:p w:rsidR="008A2063" w:rsidRDefault="008A2063" w:rsidP="00C97598">
            <w:pPr>
              <w:jc w:val="center"/>
              <w:rPr>
                <w:sz w:val="20"/>
                <w:szCs w:val="20"/>
              </w:rPr>
            </w:pPr>
            <w:r w:rsidRPr="00C97598">
              <w:rPr>
                <w:sz w:val="20"/>
                <w:szCs w:val="20"/>
              </w:rPr>
              <w:t>10 – 16</w:t>
            </w:r>
          </w:p>
          <w:p w:rsidR="008A2063" w:rsidRPr="00C97598" w:rsidRDefault="008A2063" w:rsidP="00C97598">
            <w:pPr>
              <w:jc w:val="center"/>
              <w:rPr>
                <w:sz w:val="20"/>
                <w:szCs w:val="20"/>
              </w:rPr>
            </w:pPr>
            <w:r w:rsidRPr="00C97598">
              <w:rPr>
                <w:sz w:val="20"/>
                <w:szCs w:val="20"/>
              </w:rPr>
              <w:t>juin</w:t>
            </w:r>
          </w:p>
        </w:tc>
        <w:tc>
          <w:tcPr>
            <w:tcW w:w="1124" w:type="dxa"/>
            <w:vMerge w:val="restart"/>
            <w:shd w:val="clear" w:color="auto" w:fill="DBE5F1" w:themeFill="accent1" w:themeFillTint="33"/>
            <w:vAlign w:val="center"/>
          </w:tcPr>
          <w:p w:rsidR="008A2063" w:rsidRPr="00C97598" w:rsidRDefault="008A2063" w:rsidP="00C97598">
            <w:pPr>
              <w:jc w:val="center"/>
              <w:rPr>
                <w:sz w:val="20"/>
                <w:szCs w:val="20"/>
              </w:rPr>
            </w:pPr>
            <w:r w:rsidRPr="00C97598">
              <w:rPr>
                <w:sz w:val="20"/>
                <w:szCs w:val="20"/>
              </w:rPr>
              <w:t>17 – 23 juin</w:t>
            </w:r>
          </w:p>
        </w:tc>
        <w:tc>
          <w:tcPr>
            <w:tcW w:w="1067" w:type="dxa"/>
            <w:vMerge w:val="restart"/>
            <w:shd w:val="clear" w:color="auto" w:fill="DBE5F1" w:themeFill="accent1" w:themeFillTint="33"/>
            <w:vAlign w:val="center"/>
          </w:tcPr>
          <w:p w:rsidR="008A2063" w:rsidRPr="00C97598" w:rsidRDefault="008A2063" w:rsidP="00C97598">
            <w:pPr>
              <w:jc w:val="center"/>
              <w:rPr>
                <w:sz w:val="20"/>
                <w:szCs w:val="20"/>
              </w:rPr>
            </w:pPr>
            <w:r w:rsidRPr="00C97598">
              <w:rPr>
                <w:sz w:val="20"/>
                <w:szCs w:val="20"/>
              </w:rPr>
              <w:t>24 – 30 juin</w:t>
            </w:r>
          </w:p>
        </w:tc>
        <w:tc>
          <w:tcPr>
            <w:tcW w:w="1009" w:type="dxa"/>
            <w:vMerge w:val="restart"/>
            <w:shd w:val="clear" w:color="auto" w:fill="DBE5F1" w:themeFill="accent1" w:themeFillTint="33"/>
          </w:tcPr>
          <w:p w:rsidR="008A2063" w:rsidRDefault="008A2063" w:rsidP="00C97598">
            <w:pPr>
              <w:jc w:val="center"/>
              <w:rPr>
                <w:sz w:val="20"/>
                <w:szCs w:val="20"/>
              </w:rPr>
            </w:pPr>
            <w:r>
              <w:rPr>
                <w:sz w:val="20"/>
                <w:szCs w:val="20"/>
              </w:rPr>
              <w:t>1 – 7</w:t>
            </w:r>
          </w:p>
          <w:p w:rsidR="008A2063" w:rsidRPr="00C97598" w:rsidRDefault="008A2063" w:rsidP="00C97598">
            <w:pPr>
              <w:jc w:val="center"/>
              <w:rPr>
                <w:sz w:val="20"/>
                <w:szCs w:val="20"/>
              </w:rPr>
            </w:pPr>
            <w:r>
              <w:rPr>
                <w:sz w:val="20"/>
                <w:szCs w:val="20"/>
              </w:rPr>
              <w:t>juillet</w:t>
            </w:r>
          </w:p>
        </w:tc>
      </w:tr>
      <w:tr w:rsidR="008A2063" w:rsidTr="008A2063">
        <w:trPr>
          <w:trHeight w:val="270"/>
        </w:trPr>
        <w:tc>
          <w:tcPr>
            <w:tcW w:w="1401" w:type="dxa"/>
          </w:tcPr>
          <w:p w:rsidR="008A2063" w:rsidRDefault="008A2063" w:rsidP="00A46C07">
            <w:r>
              <w:t>Action</w:t>
            </w:r>
          </w:p>
        </w:tc>
        <w:tc>
          <w:tcPr>
            <w:tcW w:w="1171" w:type="dxa"/>
            <w:vMerge/>
            <w:vAlign w:val="center"/>
          </w:tcPr>
          <w:p w:rsidR="008A2063" w:rsidRPr="00C97598" w:rsidRDefault="008A2063" w:rsidP="00C97598">
            <w:pPr>
              <w:jc w:val="center"/>
              <w:rPr>
                <w:sz w:val="20"/>
                <w:szCs w:val="20"/>
              </w:rPr>
            </w:pPr>
          </w:p>
        </w:tc>
        <w:tc>
          <w:tcPr>
            <w:tcW w:w="1172" w:type="dxa"/>
            <w:vMerge/>
            <w:vAlign w:val="center"/>
          </w:tcPr>
          <w:p w:rsidR="008A2063" w:rsidRPr="00C97598" w:rsidRDefault="008A2063" w:rsidP="00C97598">
            <w:pPr>
              <w:jc w:val="center"/>
              <w:rPr>
                <w:sz w:val="20"/>
                <w:szCs w:val="20"/>
              </w:rPr>
            </w:pPr>
          </w:p>
        </w:tc>
        <w:tc>
          <w:tcPr>
            <w:tcW w:w="1172" w:type="dxa"/>
            <w:vMerge/>
            <w:vAlign w:val="center"/>
          </w:tcPr>
          <w:p w:rsidR="008A2063" w:rsidRPr="00C97598" w:rsidRDefault="008A2063" w:rsidP="00C97598">
            <w:pPr>
              <w:jc w:val="center"/>
              <w:rPr>
                <w:sz w:val="20"/>
                <w:szCs w:val="20"/>
              </w:rPr>
            </w:pPr>
          </w:p>
        </w:tc>
        <w:tc>
          <w:tcPr>
            <w:tcW w:w="1172" w:type="dxa"/>
            <w:vMerge/>
            <w:vAlign w:val="center"/>
          </w:tcPr>
          <w:p w:rsidR="008A2063" w:rsidRPr="00C97598" w:rsidRDefault="008A2063" w:rsidP="00C97598">
            <w:pPr>
              <w:jc w:val="center"/>
              <w:rPr>
                <w:sz w:val="20"/>
                <w:szCs w:val="20"/>
              </w:rPr>
            </w:pPr>
          </w:p>
        </w:tc>
        <w:tc>
          <w:tcPr>
            <w:tcW w:w="1124" w:type="dxa"/>
            <w:vMerge/>
            <w:vAlign w:val="center"/>
          </w:tcPr>
          <w:p w:rsidR="008A2063" w:rsidRPr="00C97598" w:rsidRDefault="008A2063" w:rsidP="00C97598">
            <w:pPr>
              <w:jc w:val="center"/>
              <w:rPr>
                <w:sz w:val="20"/>
                <w:szCs w:val="20"/>
              </w:rPr>
            </w:pPr>
          </w:p>
        </w:tc>
        <w:tc>
          <w:tcPr>
            <w:tcW w:w="1067" w:type="dxa"/>
            <w:vMerge/>
            <w:vAlign w:val="center"/>
          </w:tcPr>
          <w:p w:rsidR="008A2063" w:rsidRPr="00C97598" w:rsidRDefault="008A2063" w:rsidP="00C97598">
            <w:pPr>
              <w:jc w:val="center"/>
              <w:rPr>
                <w:sz w:val="20"/>
                <w:szCs w:val="20"/>
              </w:rPr>
            </w:pPr>
          </w:p>
        </w:tc>
        <w:tc>
          <w:tcPr>
            <w:tcW w:w="1009" w:type="dxa"/>
            <w:vMerge/>
          </w:tcPr>
          <w:p w:rsidR="008A2063" w:rsidRDefault="008A2063" w:rsidP="00C97598">
            <w:pPr>
              <w:jc w:val="center"/>
              <w:rPr>
                <w:sz w:val="20"/>
                <w:szCs w:val="20"/>
              </w:rPr>
            </w:pPr>
          </w:p>
        </w:tc>
      </w:tr>
      <w:tr w:rsidR="00C97598" w:rsidTr="008A2063">
        <w:tc>
          <w:tcPr>
            <w:tcW w:w="1401" w:type="dxa"/>
          </w:tcPr>
          <w:p w:rsidR="00C97598" w:rsidRDefault="00C97598" w:rsidP="00A46C07"/>
        </w:tc>
        <w:tc>
          <w:tcPr>
            <w:tcW w:w="1171" w:type="dxa"/>
          </w:tcPr>
          <w:p w:rsidR="00C97598" w:rsidRDefault="00C97598" w:rsidP="00A46C07"/>
        </w:tc>
        <w:tc>
          <w:tcPr>
            <w:tcW w:w="1172" w:type="dxa"/>
          </w:tcPr>
          <w:p w:rsidR="00C97598" w:rsidRDefault="00C97598" w:rsidP="00A46C07"/>
        </w:tc>
        <w:tc>
          <w:tcPr>
            <w:tcW w:w="1172" w:type="dxa"/>
          </w:tcPr>
          <w:p w:rsidR="00C97598" w:rsidRDefault="00C97598" w:rsidP="00A46C07"/>
        </w:tc>
        <w:tc>
          <w:tcPr>
            <w:tcW w:w="1172" w:type="dxa"/>
          </w:tcPr>
          <w:p w:rsidR="00C97598" w:rsidRDefault="00C97598" w:rsidP="00A46C07"/>
        </w:tc>
        <w:tc>
          <w:tcPr>
            <w:tcW w:w="1124" w:type="dxa"/>
          </w:tcPr>
          <w:p w:rsidR="00C97598" w:rsidRDefault="00C97598" w:rsidP="00A46C07"/>
        </w:tc>
        <w:tc>
          <w:tcPr>
            <w:tcW w:w="1067" w:type="dxa"/>
          </w:tcPr>
          <w:p w:rsidR="00C97598" w:rsidRDefault="00C97598" w:rsidP="00A46C07"/>
        </w:tc>
        <w:tc>
          <w:tcPr>
            <w:tcW w:w="1009" w:type="dxa"/>
          </w:tcPr>
          <w:p w:rsidR="00C97598" w:rsidRDefault="00C97598" w:rsidP="00A46C07"/>
        </w:tc>
      </w:tr>
      <w:tr w:rsidR="00C97598" w:rsidTr="008A2063">
        <w:tc>
          <w:tcPr>
            <w:tcW w:w="1401" w:type="dxa"/>
          </w:tcPr>
          <w:p w:rsidR="00C97598" w:rsidRDefault="00C97598" w:rsidP="00A46C07"/>
        </w:tc>
        <w:tc>
          <w:tcPr>
            <w:tcW w:w="1171" w:type="dxa"/>
          </w:tcPr>
          <w:p w:rsidR="00C97598" w:rsidRDefault="00C97598" w:rsidP="00A46C07"/>
        </w:tc>
        <w:tc>
          <w:tcPr>
            <w:tcW w:w="1172" w:type="dxa"/>
          </w:tcPr>
          <w:p w:rsidR="00C97598" w:rsidRDefault="00C97598" w:rsidP="00A46C07"/>
        </w:tc>
        <w:tc>
          <w:tcPr>
            <w:tcW w:w="1172" w:type="dxa"/>
          </w:tcPr>
          <w:p w:rsidR="00C97598" w:rsidRDefault="00C97598" w:rsidP="00A46C07"/>
        </w:tc>
        <w:tc>
          <w:tcPr>
            <w:tcW w:w="1172" w:type="dxa"/>
          </w:tcPr>
          <w:p w:rsidR="00C97598" w:rsidRDefault="00C97598" w:rsidP="00A46C07"/>
        </w:tc>
        <w:tc>
          <w:tcPr>
            <w:tcW w:w="1124" w:type="dxa"/>
          </w:tcPr>
          <w:p w:rsidR="00C97598" w:rsidRDefault="00C97598" w:rsidP="00A46C07"/>
        </w:tc>
        <w:tc>
          <w:tcPr>
            <w:tcW w:w="1067" w:type="dxa"/>
          </w:tcPr>
          <w:p w:rsidR="00C97598" w:rsidRDefault="00C97598" w:rsidP="00A46C07"/>
        </w:tc>
        <w:tc>
          <w:tcPr>
            <w:tcW w:w="1009" w:type="dxa"/>
          </w:tcPr>
          <w:p w:rsidR="00C97598" w:rsidRDefault="00C97598" w:rsidP="00A46C07"/>
        </w:tc>
      </w:tr>
      <w:tr w:rsidR="00C97598" w:rsidTr="008A2063">
        <w:tc>
          <w:tcPr>
            <w:tcW w:w="1401" w:type="dxa"/>
          </w:tcPr>
          <w:p w:rsidR="00C97598" w:rsidRDefault="00C97598" w:rsidP="00A46C07"/>
        </w:tc>
        <w:tc>
          <w:tcPr>
            <w:tcW w:w="1171" w:type="dxa"/>
          </w:tcPr>
          <w:p w:rsidR="00C97598" w:rsidRDefault="00C97598" w:rsidP="00A46C07"/>
        </w:tc>
        <w:tc>
          <w:tcPr>
            <w:tcW w:w="1172" w:type="dxa"/>
          </w:tcPr>
          <w:p w:rsidR="00C97598" w:rsidRDefault="00C97598" w:rsidP="00A46C07"/>
        </w:tc>
        <w:tc>
          <w:tcPr>
            <w:tcW w:w="1172" w:type="dxa"/>
          </w:tcPr>
          <w:p w:rsidR="00C97598" w:rsidRDefault="00C97598" w:rsidP="00A46C07"/>
        </w:tc>
        <w:tc>
          <w:tcPr>
            <w:tcW w:w="1172" w:type="dxa"/>
          </w:tcPr>
          <w:p w:rsidR="00C97598" w:rsidRDefault="00C97598" w:rsidP="00A46C07"/>
        </w:tc>
        <w:tc>
          <w:tcPr>
            <w:tcW w:w="1124" w:type="dxa"/>
          </w:tcPr>
          <w:p w:rsidR="00C97598" w:rsidRDefault="00C97598" w:rsidP="00A46C07"/>
        </w:tc>
        <w:tc>
          <w:tcPr>
            <w:tcW w:w="1067" w:type="dxa"/>
          </w:tcPr>
          <w:p w:rsidR="00C97598" w:rsidRDefault="00C97598" w:rsidP="00A46C07"/>
        </w:tc>
        <w:tc>
          <w:tcPr>
            <w:tcW w:w="1009" w:type="dxa"/>
          </w:tcPr>
          <w:p w:rsidR="00C97598" w:rsidRDefault="00C97598" w:rsidP="00A46C07"/>
        </w:tc>
      </w:tr>
      <w:tr w:rsidR="00C97598" w:rsidTr="008A2063">
        <w:tc>
          <w:tcPr>
            <w:tcW w:w="1401" w:type="dxa"/>
          </w:tcPr>
          <w:p w:rsidR="00C97598" w:rsidRDefault="00C97598" w:rsidP="00A46C07"/>
        </w:tc>
        <w:tc>
          <w:tcPr>
            <w:tcW w:w="1171" w:type="dxa"/>
          </w:tcPr>
          <w:p w:rsidR="00C97598" w:rsidRDefault="00C97598" w:rsidP="00A46C07"/>
        </w:tc>
        <w:tc>
          <w:tcPr>
            <w:tcW w:w="1172" w:type="dxa"/>
          </w:tcPr>
          <w:p w:rsidR="00C97598" w:rsidRDefault="00C97598" w:rsidP="00A46C07"/>
        </w:tc>
        <w:tc>
          <w:tcPr>
            <w:tcW w:w="1172" w:type="dxa"/>
          </w:tcPr>
          <w:p w:rsidR="00C97598" w:rsidRDefault="00C97598" w:rsidP="00A46C07"/>
        </w:tc>
        <w:tc>
          <w:tcPr>
            <w:tcW w:w="1172" w:type="dxa"/>
          </w:tcPr>
          <w:p w:rsidR="00C97598" w:rsidRDefault="00C97598" w:rsidP="00A46C07"/>
        </w:tc>
        <w:tc>
          <w:tcPr>
            <w:tcW w:w="1124" w:type="dxa"/>
          </w:tcPr>
          <w:p w:rsidR="00C97598" w:rsidRDefault="00C97598" w:rsidP="00A46C07"/>
        </w:tc>
        <w:tc>
          <w:tcPr>
            <w:tcW w:w="1067" w:type="dxa"/>
          </w:tcPr>
          <w:p w:rsidR="00C97598" w:rsidRDefault="00C97598" w:rsidP="00A46C07"/>
        </w:tc>
        <w:tc>
          <w:tcPr>
            <w:tcW w:w="1009" w:type="dxa"/>
          </w:tcPr>
          <w:p w:rsidR="00C97598" w:rsidRDefault="00C97598" w:rsidP="00A46C07"/>
        </w:tc>
      </w:tr>
      <w:tr w:rsidR="00C97598" w:rsidTr="008A2063">
        <w:tc>
          <w:tcPr>
            <w:tcW w:w="1401" w:type="dxa"/>
          </w:tcPr>
          <w:p w:rsidR="00C97598" w:rsidRDefault="00C97598" w:rsidP="00A46C07"/>
        </w:tc>
        <w:tc>
          <w:tcPr>
            <w:tcW w:w="1171" w:type="dxa"/>
          </w:tcPr>
          <w:p w:rsidR="00C97598" w:rsidRDefault="00C97598" w:rsidP="00A46C07"/>
        </w:tc>
        <w:tc>
          <w:tcPr>
            <w:tcW w:w="1172" w:type="dxa"/>
          </w:tcPr>
          <w:p w:rsidR="00C97598" w:rsidRDefault="00C97598" w:rsidP="00A46C07"/>
        </w:tc>
        <w:tc>
          <w:tcPr>
            <w:tcW w:w="1172" w:type="dxa"/>
          </w:tcPr>
          <w:p w:rsidR="00C97598" w:rsidRDefault="00C97598" w:rsidP="00A46C07"/>
        </w:tc>
        <w:tc>
          <w:tcPr>
            <w:tcW w:w="1172" w:type="dxa"/>
          </w:tcPr>
          <w:p w:rsidR="00C97598" w:rsidRDefault="00C97598" w:rsidP="00A46C07"/>
        </w:tc>
        <w:tc>
          <w:tcPr>
            <w:tcW w:w="1124" w:type="dxa"/>
          </w:tcPr>
          <w:p w:rsidR="00C97598" w:rsidRDefault="00C97598" w:rsidP="00A46C07"/>
        </w:tc>
        <w:tc>
          <w:tcPr>
            <w:tcW w:w="1067" w:type="dxa"/>
          </w:tcPr>
          <w:p w:rsidR="00C97598" w:rsidRDefault="00C97598" w:rsidP="00A46C07"/>
        </w:tc>
        <w:tc>
          <w:tcPr>
            <w:tcW w:w="1009" w:type="dxa"/>
          </w:tcPr>
          <w:p w:rsidR="00C97598" w:rsidRDefault="00C97598" w:rsidP="00A46C07"/>
        </w:tc>
      </w:tr>
      <w:tr w:rsidR="00C97598" w:rsidTr="008A2063">
        <w:tc>
          <w:tcPr>
            <w:tcW w:w="1401" w:type="dxa"/>
          </w:tcPr>
          <w:p w:rsidR="00C97598" w:rsidRDefault="00C97598" w:rsidP="00A46C07"/>
        </w:tc>
        <w:tc>
          <w:tcPr>
            <w:tcW w:w="1171" w:type="dxa"/>
          </w:tcPr>
          <w:p w:rsidR="00C97598" w:rsidRDefault="00C97598" w:rsidP="00A46C07"/>
        </w:tc>
        <w:tc>
          <w:tcPr>
            <w:tcW w:w="1172" w:type="dxa"/>
          </w:tcPr>
          <w:p w:rsidR="00C97598" w:rsidRDefault="00C97598" w:rsidP="00A46C07"/>
        </w:tc>
        <w:tc>
          <w:tcPr>
            <w:tcW w:w="1172" w:type="dxa"/>
          </w:tcPr>
          <w:p w:rsidR="00C97598" w:rsidRDefault="00C97598" w:rsidP="00A46C07"/>
        </w:tc>
        <w:tc>
          <w:tcPr>
            <w:tcW w:w="1172" w:type="dxa"/>
          </w:tcPr>
          <w:p w:rsidR="00C97598" w:rsidRDefault="00C97598" w:rsidP="00A46C07"/>
        </w:tc>
        <w:tc>
          <w:tcPr>
            <w:tcW w:w="1124" w:type="dxa"/>
          </w:tcPr>
          <w:p w:rsidR="00C97598" w:rsidRDefault="00C97598" w:rsidP="00A46C07"/>
        </w:tc>
        <w:tc>
          <w:tcPr>
            <w:tcW w:w="1067" w:type="dxa"/>
          </w:tcPr>
          <w:p w:rsidR="00C97598" w:rsidRDefault="00C97598" w:rsidP="00A46C07"/>
        </w:tc>
        <w:tc>
          <w:tcPr>
            <w:tcW w:w="1009" w:type="dxa"/>
          </w:tcPr>
          <w:p w:rsidR="00C97598" w:rsidRDefault="00C97598" w:rsidP="00A46C07"/>
        </w:tc>
      </w:tr>
    </w:tbl>
    <w:p w:rsidR="00A46C07" w:rsidRPr="00A46C07" w:rsidRDefault="00A46C07" w:rsidP="00A46C07"/>
    <w:p w:rsidR="00EB6341" w:rsidRPr="004D1281" w:rsidRDefault="00EB6341" w:rsidP="00D74396">
      <w:pPr>
        <w:pStyle w:val="Titre1"/>
        <w:rPr>
          <w:lang w:val="en-US"/>
        </w:rPr>
      </w:pPr>
      <w:r w:rsidRPr="004D1281">
        <w:rPr>
          <w:lang w:val="en-US"/>
        </w:rPr>
        <w:t>Bibliographie</w:t>
      </w:r>
    </w:p>
    <w:p w:rsidR="00C069AB" w:rsidRPr="007E4CE6" w:rsidRDefault="00C069AB" w:rsidP="001F3FB4">
      <w:pPr>
        <w:rPr>
          <w:lang w:val="en-US"/>
        </w:rPr>
      </w:pPr>
      <w:r w:rsidRPr="003668D5">
        <w:rPr>
          <w:lang w:val="en-US"/>
        </w:rPr>
        <w:t xml:space="preserve">Anthony, L. (2001). Characteristic features of research article titles in computer science. </w:t>
      </w:r>
      <w:r w:rsidRPr="007E4CE6">
        <w:rPr>
          <w:i/>
          <w:lang w:val="en-US"/>
        </w:rPr>
        <w:t>IEEE Transactions on Professional Communication, 44(3)</w:t>
      </w:r>
      <w:r w:rsidRPr="007E4CE6">
        <w:rPr>
          <w:lang w:val="en-US"/>
        </w:rPr>
        <w:t>, 187-194.</w:t>
      </w:r>
    </w:p>
    <w:p w:rsidR="00AC6ABC" w:rsidRPr="00AC6ABC" w:rsidRDefault="00AC6ABC" w:rsidP="001F3FB4">
      <w:pPr>
        <w:rPr>
          <w:lang w:val="en-US"/>
        </w:rPr>
      </w:pPr>
      <w:proofErr w:type="spellStart"/>
      <w:r w:rsidRPr="003668D5">
        <w:rPr>
          <w:lang w:val="en-US"/>
        </w:rPr>
        <w:t>Hallliday</w:t>
      </w:r>
      <w:proofErr w:type="spellEnd"/>
      <w:r w:rsidRPr="003668D5">
        <w:rPr>
          <w:lang w:val="en-US"/>
        </w:rPr>
        <w:t>, M.</w:t>
      </w:r>
      <w:r>
        <w:rPr>
          <w:lang w:val="en-US"/>
        </w:rPr>
        <w:t xml:space="preserve"> A. K.</w:t>
      </w:r>
      <w:r w:rsidRPr="003668D5">
        <w:rPr>
          <w:lang w:val="en-US"/>
        </w:rPr>
        <w:t xml:space="preserve"> </w:t>
      </w:r>
      <w:r>
        <w:rPr>
          <w:lang w:val="en-US"/>
        </w:rPr>
        <w:t>et</w:t>
      </w:r>
      <w:r w:rsidRPr="003668D5">
        <w:rPr>
          <w:lang w:val="en-US"/>
        </w:rPr>
        <w:t xml:space="preserve"> Hasan, R. (1976). </w:t>
      </w:r>
      <w:r w:rsidRPr="007B5B04">
        <w:rPr>
          <w:i/>
          <w:lang w:val="en-US"/>
        </w:rPr>
        <w:t>Cohesion in English</w:t>
      </w:r>
      <w:r w:rsidRPr="003668D5">
        <w:rPr>
          <w:lang w:val="en-US"/>
        </w:rPr>
        <w:t>. London: Longman.</w:t>
      </w:r>
    </w:p>
    <w:p w:rsidR="006E4DDD" w:rsidRPr="007E4CE6" w:rsidRDefault="006E4DDD" w:rsidP="001F3FB4">
      <w:pPr>
        <w:rPr>
          <w:lang w:val="en-US"/>
        </w:rPr>
      </w:pPr>
      <w:proofErr w:type="spellStart"/>
      <w:r w:rsidRPr="007E4CE6">
        <w:rPr>
          <w:lang w:val="en-US"/>
        </w:rPr>
        <w:t>Hatier</w:t>
      </w:r>
      <w:proofErr w:type="spellEnd"/>
      <w:r w:rsidRPr="007E4CE6">
        <w:rPr>
          <w:lang w:val="en-US"/>
        </w:rPr>
        <w:t xml:space="preserve">, S., </w:t>
      </w:r>
      <w:proofErr w:type="spellStart"/>
      <w:r w:rsidRPr="007E4CE6">
        <w:rPr>
          <w:lang w:val="en-US"/>
        </w:rPr>
        <w:t>Augustyn</w:t>
      </w:r>
      <w:proofErr w:type="spellEnd"/>
      <w:r w:rsidRPr="007E4CE6">
        <w:rPr>
          <w:lang w:val="en-US"/>
        </w:rPr>
        <w:t xml:space="preserve">, M., Tran, T. T. H., Yan, R., </w:t>
      </w:r>
      <w:proofErr w:type="spellStart"/>
      <w:r w:rsidRPr="007E4CE6">
        <w:rPr>
          <w:lang w:val="en-US"/>
        </w:rPr>
        <w:t>Tutin</w:t>
      </w:r>
      <w:proofErr w:type="spellEnd"/>
      <w:r w:rsidRPr="007E4CE6">
        <w:rPr>
          <w:lang w:val="en-US"/>
        </w:rPr>
        <w:t xml:space="preserve">, A. &amp; Jacques, M. P. (2016). </w:t>
      </w:r>
      <w:r w:rsidRPr="006E4DDD">
        <w:rPr>
          <w:lang w:val="en-US"/>
        </w:rPr>
        <w:t xml:space="preserve">French cross-disciplinary scientific lexicon: extraction and linguistic analysis. </w:t>
      </w:r>
      <w:r w:rsidRPr="007E4CE6">
        <w:rPr>
          <w:lang w:val="en-US"/>
        </w:rPr>
        <w:t>In</w:t>
      </w:r>
      <w:r w:rsidRPr="007E4CE6">
        <w:rPr>
          <w:i/>
          <w:lang w:val="en-US"/>
        </w:rPr>
        <w:t xml:space="preserve"> Proceedings of </w:t>
      </w:r>
      <w:proofErr w:type="spellStart"/>
      <w:r w:rsidRPr="007E4CE6">
        <w:rPr>
          <w:i/>
          <w:lang w:val="en-US"/>
        </w:rPr>
        <w:t>Euralex</w:t>
      </w:r>
      <w:proofErr w:type="spellEnd"/>
      <w:r w:rsidRPr="007E4CE6">
        <w:rPr>
          <w:lang w:val="en-US"/>
        </w:rPr>
        <w:t>, 355-366.</w:t>
      </w:r>
    </w:p>
    <w:p w:rsidR="00F412F0" w:rsidRPr="004D1281" w:rsidRDefault="00F412F0" w:rsidP="001F3FB4">
      <w:proofErr w:type="spellStart"/>
      <w:r w:rsidRPr="007E4CE6">
        <w:rPr>
          <w:lang w:val="en-US"/>
        </w:rPr>
        <w:t>Mabe</w:t>
      </w:r>
      <w:proofErr w:type="spellEnd"/>
      <w:r w:rsidRPr="007E4CE6">
        <w:rPr>
          <w:lang w:val="en-US"/>
        </w:rPr>
        <w:t xml:space="preserve">, M. A. et Amin, M. (2002). </w:t>
      </w:r>
      <w:r w:rsidRPr="004D1281">
        <w:rPr>
          <w:lang w:val="en-US"/>
        </w:rPr>
        <w:t xml:space="preserve">Dr. Jekyll and </w:t>
      </w:r>
      <w:r w:rsidRPr="003668D5">
        <w:rPr>
          <w:lang w:val="en-US"/>
        </w:rPr>
        <w:t xml:space="preserve">Dr. Hyde: Author-reader asymmetries in scholarly publishing. </w:t>
      </w:r>
      <w:r w:rsidRPr="004D1281">
        <w:rPr>
          <w:i/>
        </w:rPr>
        <w:t>Aslib Proceedings, 54(3)</w:t>
      </w:r>
      <w:r w:rsidRPr="004D1281">
        <w:t>, 149-157.</w:t>
      </w:r>
    </w:p>
    <w:p w:rsidR="00B6102A" w:rsidRDefault="00B6102A" w:rsidP="001F3FB4">
      <w:pPr>
        <w:rPr>
          <w:rStyle w:val="Lienhypertexte"/>
        </w:rPr>
      </w:pPr>
      <w:r w:rsidRPr="003668D5">
        <w:t xml:space="preserve">Nivard, J. (2010). </w:t>
      </w:r>
      <w:r w:rsidRPr="007B5B04">
        <w:rPr>
          <w:i/>
        </w:rPr>
        <w:t>Les Archives ouvertes de l’EHESS</w:t>
      </w:r>
      <w:r w:rsidRPr="003668D5">
        <w:t xml:space="preserve">. Récupéré sur La Lettre de l'École des hautes études en sciences sociales n°34: </w:t>
      </w:r>
      <w:hyperlink r:id="rId8" w:history="1">
        <w:r w:rsidRPr="00A81941">
          <w:rPr>
            <w:rStyle w:val="Lienhypertexte"/>
          </w:rPr>
          <w:t>http://lettre.ehess.fr/index.php?5883</w:t>
        </w:r>
      </w:hyperlink>
    </w:p>
    <w:p w:rsidR="00CA663E" w:rsidRDefault="00CA663E" w:rsidP="001F3FB4">
      <w:r w:rsidRPr="00CA663E">
        <w:rPr>
          <w:lang w:val="en-US"/>
        </w:rPr>
        <w:t xml:space="preserve">Soler, V. (2011). Comparative and contrastive observations on scientific titles written in English and Spanish. </w:t>
      </w:r>
      <w:r w:rsidRPr="00CA663E">
        <w:rPr>
          <w:i/>
        </w:rPr>
        <w:t xml:space="preserve">English for </w:t>
      </w:r>
      <w:proofErr w:type="spellStart"/>
      <w:r w:rsidRPr="00CA663E">
        <w:rPr>
          <w:i/>
        </w:rPr>
        <w:t>Specific</w:t>
      </w:r>
      <w:proofErr w:type="spellEnd"/>
      <w:r w:rsidRPr="00CA663E">
        <w:rPr>
          <w:i/>
        </w:rPr>
        <w:t xml:space="preserve"> </w:t>
      </w:r>
      <w:proofErr w:type="spellStart"/>
      <w:r w:rsidRPr="00CA663E">
        <w:rPr>
          <w:i/>
        </w:rPr>
        <w:t>Purposes</w:t>
      </w:r>
      <w:proofErr w:type="spellEnd"/>
      <w:r w:rsidRPr="00CA663E">
        <w:t>, 30(2), 124-137.</w:t>
      </w:r>
    </w:p>
    <w:p w:rsidR="007E4CE6" w:rsidRDefault="007E4CE6" w:rsidP="001F3FB4">
      <w:proofErr w:type="spellStart"/>
      <w:r>
        <w:t>Schwischay</w:t>
      </w:r>
      <w:proofErr w:type="spellEnd"/>
      <w:r w:rsidRPr="007E4CE6">
        <w:t xml:space="preserve">, </w:t>
      </w:r>
      <w:r>
        <w:t>B</w:t>
      </w:r>
      <w:r w:rsidRPr="007E4CE6">
        <w:t>. (20</w:t>
      </w:r>
      <w:r>
        <w:t>01</w:t>
      </w:r>
      <w:r w:rsidRPr="007E4CE6">
        <w:t xml:space="preserve">). </w:t>
      </w:r>
      <w:r w:rsidR="00A57286">
        <w:t>Notes d’exposés sur deux modèles de description syntaxique</w:t>
      </w:r>
      <w:r w:rsidRPr="007E4CE6">
        <w:t xml:space="preserve"> [</w:t>
      </w:r>
      <w:r w:rsidR="00A57286">
        <w:t>Document PDF</w:t>
      </w:r>
      <w:r w:rsidRPr="007E4CE6">
        <w:t xml:space="preserve">]. Repéré </w:t>
      </w:r>
      <w:r w:rsidR="00A57286">
        <w:t xml:space="preserve">à </w:t>
      </w:r>
      <w:hyperlink r:id="rId9" w:history="1">
        <w:r w:rsidR="00A57286" w:rsidRPr="00021B48">
          <w:rPr>
            <w:rStyle w:val="Lienhypertexte"/>
          </w:rPr>
          <w:t>http://www.home.uni-osnabrueck.de/bschwisc/archives/deuxmodeles.pdf</w:t>
        </w:r>
      </w:hyperlink>
      <w:r w:rsidR="00A57286">
        <w:t xml:space="preserve"> </w:t>
      </w:r>
    </w:p>
    <w:p w:rsidR="001F3FB4" w:rsidRPr="001F3FB4" w:rsidRDefault="002972A7" w:rsidP="001F3FB4">
      <w:r w:rsidRPr="002972A7">
        <w:t xml:space="preserve">Urieli, A. et Tanguy, L. (2013). L'apport du faisceau dans l'analyse syntaxique en dépendances par transitions : études de cas avec l'analyseur Talismane. </w:t>
      </w:r>
      <w:r w:rsidRPr="002972A7">
        <w:rPr>
          <w:i/>
        </w:rPr>
        <w:t>Actes de TALN</w:t>
      </w:r>
      <w:r w:rsidRPr="002972A7">
        <w:t>, Sables D'Olonne.</w:t>
      </w:r>
    </w:p>
    <w:sectPr w:rsidR="001F3FB4" w:rsidRPr="001F3FB4">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4529" w:rsidRDefault="00E74529" w:rsidP="001F3FB4">
      <w:pPr>
        <w:spacing w:after="0" w:line="240" w:lineRule="auto"/>
      </w:pPr>
      <w:r>
        <w:separator/>
      </w:r>
    </w:p>
  </w:endnote>
  <w:endnote w:type="continuationSeparator" w:id="0">
    <w:p w:rsidR="00E74529" w:rsidRDefault="00E74529" w:rsidP="001F3F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4EF7" w:rsidRDefault="00064EF7" w:rsidP="00064EF7">
    <w:pPr>
      <w:pStyle w:val="Pieddepage"/>
      <w:jc w:val="right"/>
    </w:pPr>
    <w:r>
      <w:fldChar w:fldCharType="begin"/>
    </w:r>
    <w:r>
      <w:instrText xml:space="preserve"> PAGE   \* MERGEFORMAT </w:instrText>
    </w:r>
    <w:r>
      <w:fldChar w:fldCharType="separate"/>
    </w:r>
    <w:r w:rsidR="004F7CFD">
      <w:rPr>
        <w:noProof/>
      </w:rPr>
      <w:t>2</w:t>
    </w:r>
    <w:r>
      <w:fldChar w:fldCharType="end"/>
    </w:r>
    <w:r>
      <w:t xml:space="preserve"> / </w:t>
    </w:r>
    <w:r w:rsidR="00E74529">
      <w:fldChar w:fldCharType="begin"/>
    </w:r>
    <w:r w:rsidR="00E74529">
      <w:instrText xml:space="preserve"> NUMPAGES   \* MERGEFORMAT </w:instrText>
    </w:r>
    <w:r w:rsidR="00E74529">
      <w:fldChar w:fldCharType="separate"/>
    </w:r>
    <w:r w:rsidR="004F7CFD">
      <w:rPr>
        <w:noProof/>
      </w:rPr>
      <w:t>3</w:t>
    </w:r>
    <w:r w:rsidR="00E7452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4529" w:rsidRDefault="00E74529" w:rsidP="001F3FB4">
      <w:pPr>
        <w:spacing w:after="0" w:line="240" w:lineRule="auto"/>
      </w:pPr>
      <w:r>
        <w:separator/>
      </w:r>
    </w:p>
  </w:footnote>
  <w:footnote w:type="continuationSeparator" w:id="0">
    <w:p w:rsidR="00E74529" w:rsidRDefault="00E74529" w:rsidP="001F3F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3FB4" w:rsidRDefault="006C3D84" w:rsidP="001F3FB4">
    <w:pPr>
      <w:pStyle w:val="En-tte"/>
      <w:jc w:val="center"/>
    </w:pPr>
    <w:r>
      <w:t xml:space="preserve">Séances de regroupement </w:t>
    </w:r>
    <w:r w:rsidR="001F3FB4">
      <w:t>– 22 et 23 mai 2019 – Master 2 LITL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B30AB"/>
    <w:multiLevelType w:val="hybridMultilevel"/>
    <w:tmpl w:val="BEB22330"/>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 w15:restartNumberingAfterBreak="0">
    <w:nsid w:val="48A63962"/>
    <w:multiLevelType w:val="hybridMultilevel"/>
    <w:tmpl w:val="22E64E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3FB4"/>
    <w:rsid w:val="00002126"/>
    <w:rsid w:val="0000378C"/>
    <w:rsid w:val="0000630C"/>
    <w:rsid w:val="000074E1"/>
    <w:rsid w:val="00007A2D"/>
    <w:rsid w:val="00010784"/>
    <w:rsid w:val="00010807"/>
    <w:rsid w:val="00016841"/>
    <w:rsid w:val="00024049"/>
    <w:rsid w:val="00024408"/>
    <w:rsid w:val="00027A88"/>
    <w:rsid w:val="00035677"/>
    <w:rsid w:val="00044A39"/>
    <w:rsid w:val="00045677"/>
    <w:rsid w:val="00047A1E"/>
    <w:rsid w:val="000520B9"/>
    <w:rsid w:val="00054FCA"/>
    <w:rsid w:val="00060A20"/>
    <w:rsid w:val="0006316C"/>
    <w:rsid w:val="00064EF7"/>
    <w:rsid w:val="00071BD3"/>
    <w:rsid w:val="00074F6E"/>
    <w:rsid w:val="00075110"/>
    <w:rsid w:val="000763B6"/>
    <w:rsid w:val="00077E1C"/>
    <w:rsid w:val="000844C7"/>
    <w:rsid w:val="00084743"/>
    <w:rsid w:val="00090644"/>
    <w:rsid w:val="000907C3"/>
    <w:rsid w:val="000909FF"/>
    <w:rsid w:val="000912AF"/>
    <w:rsid w:val="00091A8F"/>
    <w:rsid w:val="000936B3"/>
    <w:rsid w:val="00096E35"/>
    <w:rsid w:val="000B32BC"/>
    <w:rsid w:val="000B4FEC"/>
    <w:rsid w:val="000B5FCF"/>
    <w:rsid w:val="000C04E8"/>
    <w:rsid w:val="000C3B8B"/>
    <w:rsid w:val="000C59E0"/>
    <w:rsid w:val="000C6F8F"/>
    <w:rsid w:val="000D1F65"/>
    <w:rsid w:val="000D72C7"/>
    <w:rsid w:val="000F23D8"/>
    <w:rsid w:val="000F421B"/>
    <w:rsid w:val="00104E25"/>
    <w:rsid w:val="001121BF"/>
    <w:rsid w:val="00112B6F"/>
    <w:rsid w:val="001134D7"/>
    <w:rsid w:val="0011609C"/>
    <w:rsid w:val="00116329"/>
    <w:rsid w:val="00124065"/>
    <w:rsid w:val="00124E47"/>
    <w:rsid w:val="0012549A"/>
    <w:rsid w:val="00133029"/>
    <w:rsid w:val="001333C4"/>
    <w:rsid w:val="00134C1F"/>
    <w:rsid w:val="00136E23"/>
    <w:rsid w:val="0014361A"/>
    <w:rsid w:val="00144D3B"/>
    <w:rsid w:val="00150099"/>
    <w:rsid w:val="00152432"/>
    <w:rsid w:val="0015583C"/>
    <w:rsid w:val="001574B6"/>
    <w:rsid w:val="00160C63"/>
    <w:rsid w:val="00162741"/>
    <w:rsid w:val="00163C61"/>
    <w:rsid w:val="001653C0"/>
    <w:rsid w:val="0017004E"/>
    <w:rsid w:val="0018039E"/>
    <w:rsid w:val="0018312F"/>
    <w:rsid w:val="00183926"/>
    <w:rsid w:val="00184AAE"/>
    <w:rsid w:val="00185054"/>
    <w:rsid w:val="00193654"/>
    <w:rsid w:val="001A07E8"/>
    <w:rsid w:val="001A07F8"/>
    <w:rsid w:val="001A7A23"/>
    <w:rsid w:val="001B28E6"/>
    <w:rsid w:val="001B412F"/>
    <w:rsid w:val="001B6470"/>
    <w:rsid w:val="001C0BA3"/>
    <w:rsid w:val="001C412B"/>
    <w:rsid w:val="001C7223"/>
    <w:rsid w:val="001D2431"/>
    <w:rsid w:val="001D34E4"/>
    <w:rsid w:val="001D387F"/>
    <w:rsid w:val="001D47C6"/>
    <w:rsid w:val="001D55B0"/>
    <w:rsid w:val="001D62C8"/>
    <w:rsid w:val="001E1ABA"/>
    <w:rsid w:val="001E3D50"/>
    <w:rsid w:val="001F1C12"/>
    <w:rsid w:val="001F3FB4"/>
    <w:rsid w:val="00200CDC"/>
    <w:rsid w:val="00202B1A"/>
    <w:rsid w:val="002055BA"/>
    <w:rsid w:val="00206150"/>
    <w:rsid w:val="0020637C"/>
    <w:rsid w:val="00206C24"/>
    <w:rsid w:val="002165B5"/>
    <w:rsid w:val="0022370A"/>
    <w:rsid w:val="00227AA6"/>
    <w:rsid w:val="00227D3F"/>
    <w:rsid w:val="00230AC3"/>
    <w:rsid w:val="002329FF"/>
    <w:rsid w:val="00240718"/>
    <w:rsid w:val="00240DEA"/>
    <w:rsid w:val="00242E7E"/>
    <w:rsid w:val="0024322C"/>
    <w:rsid w:val="002440AE"/>
    <w:rsid w:val="00251B32"/>
    <w:rsid w:val="002523E4"/>
    <w:rsid w:val="0025359A"/>
    <w:rsid w:val="00260889"/>
    <w:rsid w:val="00261357"/>
    <w:rsid w:val="002635CB"/>
    <w:rsid w:val="00263953"/>
    <w:rsid w:val="00264204"/>
    <w:rsid w:val="00265FBE"/>
    <w:rsid w:val="00276ABA"/>
    <w:rsid w:val="00281831"/>
    <w:rsid w:val="00281C8D"/>
    <w:rsid w:val="0028432A"/>
    <w:rsid w:val="0028440F"/>
    <w:rsid w:val="002972A7"/>
    <w:rsid w:val="002977A8"/>
    <w:rsid w:val="002A1187"/>
    <w:rsid w:val="002A1979"/>
    <w:rsid w:val="002A1E4C"/>
    <w:rsid w:val="002A3366"/>
    <w:rsid w:val="002A3D75"/>
    <w:rsid w:val="002A6EB3"/>
    <w:rsid w:val="002B00AE"/>
    <w:rsid w:val="002B1525"/>
    <w:rsid w:val="002B3C53"/>
    <w:rsid w:val="002B7A3A"/>
    <w:rsid w:val="002C0133"/>
    <w:rsid w:val="002C2734"/>
    <w:rsid w:val="002C7578"/>
    <w:rsid w:val="002D2FA1"/>
    <w:rsid w:val="002D6A96"/>
    <w:rsid w:val="002E0ADC"/>
    <w:rsid w:val="002E358A"/>
    <w:rsid w:val="002E59F1"/>
    <w:rsid w:val="002E7F7E"/>
    <w:rsid w:val="002F0E68"/>
    <w:rsid w:val="002F75FC"/>
    <w:rsid w:val="002F7C0D"/>
    <w:rsid w:val="00301343"/>
    <w:rsid w:val="003036EC"/>
    <w:rsid w:val="00306444"/>
    <w:rsid w:val="0031058D"/>
    <w:rsid w:val="003146B2"/>
    <w:rsid w:val="00320AA0"/>
    <w:rsid w:val="003262A9"/>
    <w:rsid w:val="00327D58"/>
    <w:rsid w:val="00332D47"/>
    <w:rsid w:val="00333501"/>
    <w:rsid w:val="00336C19"/>
    <w:rsid w:val="00341C8F"/>
    <w:rsid w:val="003422E7"/>
    <w:rsid w:val="0034395A"/>
    <w:rsid w:val="003444C4"/>
    <w:rsid w:val="00350F1D"/>
    <w:rsid w:val="00351843"/>
    <w:rsid w:val="00354079"/>
    <w:rsid w:val="003547D5"/>
    <w:rsid w:val="003554E8"/>
    <w:rsid w:val="00361789"/>
    <w:rsid w:val="00362C61"/>
    <w:rsid w:val="00370A1A"/>
    <w:rsid w:val="00372531"/>
    <w:rsid w:val="0037344B"/>
    <w:rsid w:val="00374A34"/>
    <w:rsid w:val="00383745"/>
    <w:rsid w:val="00383D01"/>
    <w:rsid w:val="00390F47"/>
    <w:rsid w:val="003922DF"/>
    <w:rsid w:val="003949D0"/>
    <w:rsid w:val="00395367"/>
    <w:rsid w:val="00397545"/>
    <w:rsid w:val="003A3B48"/>
    <w:rsid w:val="003A63C2"/>
    <w:rsid w:val="003A6745"/>
    <w:rsid w:val="003B0B0C"/>
    <w:rsid w:val="003B137F"/>
    <w:rsid w:val="003B1A6A"/>
    <w:rsid w:val="003C0DFA"/>
    <w:rsid w:val="003C192B"/>
    <w:rsid w:val="003C2C90"/>
    <w:rsid w:val="003C3636"/>
    <w:rsid w:val="003C45FF"/>
    <w:rsid w:val="003C7FDB"/>
    <w:rsid w:val="003D3B47"/>
    <w:rsid w:val="003E19B5"/>
    <w:rsid w:val="003E2626"/>
    <w:rsid w:val="003E4127"/>
    <w:rsid w:val="003E484A"/>
    <w:rsid w:val="003F1C36"/>
    <w:rsid w:val="003F2556"/>
    <w:rsid w:val="003F2651"/>
    <w:rsid w:val="003F3958"/>
    <w:rsid w:val="003F7BB9"/>
    <w:rsid w:val="00400905"/>
    <w:rsid w:val="00400D91"/>
    <w:rsid w:val="00410F9D"/>
    <w:rsid w:val="00411178"/>
    <w:rsid w:val="00411214"/>
    <w:rsid w:val="00411254"/>
    <w:rsid w:val="00411527"/>
    <w:rsid w:val="00413430"/>
    <w:rsid w:val="0041716B"/>
    <w:rsid w:val="0043050A"/>
    <w:rsid w:val="004306A6"/>
    <w:rsid w:val="00435E15"/>
    <w:rsid w:val="00436AC9"/>
    <w:rsid w:val="00437069"/>
    <w:rsid w:val="00440008"/>
    <w:rsid w:val="00442048"/>
    <w:rsid w:val="00442572"/>
    <w:rsid w:val="004454FE"/>
    <w:rsid w:val="004525CE"/>
    <w:rsid w:val="004537D4"/>
    <w:rsid w:val="0045642F"/>
    <w:rsid w:val="00457B3F"/>
    <w:rsid w:val="004616D4"/>
    <w:rsid w:val="004617D8"/>
    <w:rsid w:val="00464C27"/>
    <w:rsid w:val="004668CD"/>
    <w:rsid w:val="00470840"/>
    <w:rsid w:val="00471FB9"/>
    <w:rsid w:val="00472A3A"/>
    <w:rsid w:val="00473AD3"/>
    <w:rsid w:val="0048226C"/>
    <w:rsid w:val="00482283"/>
    <w:rsid w:val="00482503"/>
    <w:rsid w:val="004828D8"/>
    <w:rsid w:val="00484558"/>
    <w:rsid w:val="004850C1"/>
    <w:rsid w:val="004853DC"/>
    <w:rsid w:val="00490975"/>
    <w:rsid w:val="004934F2"/>
    <w:rsid w:val="00495A42"/>
    <w:rsid w:val="00496EDF"/>
    <w:rsid w:val="00497363"/>
    <w:rsid w:val="00497566"/>
    <w:rsid w:val="00497CF9"/>
    <w:rsid w:val="004A161A"/>
    <w:rsid w:val="004A4A74"/>
    <w:rsid w:val="004A4E4D"/>
    <w:rsid w:val="004A5570"/>
    <w:rsid w:val="004A6D08"/>
    <w:rsid w:val="004A77B5"/>
    <w:rsid w:val="004B1A82"/>
    <w:rsid w:val="004C071D"/>
    <w:rsid w:val="004C2BE4"/>
    <w:rsid w:val="004D1281"/>
    <w:rsid w:val="004D6F82"/>
    <w:rsid w:val="004D75C5"/>
    <w:rsid w:val="004D7B52"/>
    <w:rsid w:val="004E64AC"/>
    <w:rsid w:val="004F51BA"/>
    <w:rsid w:val="004F546C"/>
    <w:rsid w:val="004F7CFD"/>
    <w:rsid w:val="00503B34"/>
    <w:rsid w:val="00514FB1"/>
    <w:rsid w:val="00520511"/>
    <w:rsid w:val="005212C9"/>
    <w:rsid w:val="00523422"/>
    <w:rsid w:val="00524AD9"/>
    <w:rsid w:val="005279F9"/>
    <w:rsid w:val="00527A1E"/>
    <w:rsid w:val="00537014"/>
    <w:rsid w:val="00537C4F"/>
    <w:rsid w:val="0054202B"/>
    <w:rsid w:val="0054737D"/>
    <w:rsid w:val="00550972"/>
    <w:rsid w:val="0055428F"/>
    <w:rsid w:val="0055638C"/>
    <w:rsid w:val="00563B8A"/>
    <w:rsid w:val="005644A5"/>
    <w:rsid w:val="0056535A"/>
    <w:rsid w:val="00571965"/>
    <w:rsid w:val="00577EC9"/>
    <w:rsid w:val="00580145"/>
    <w:rsid w:val="00580171"/>
    <w:rsid w:val="00583449"/>
    <w:rsid w:val="00587039"/>
    <w:rsid w:val="00587AD7"/>
    <w:rsid w:val="00592472"/>
    <w:rsid w:val="005924D0"/>
    <w:rsid w:val="0059639C"/>
    <w:rsid w:val="005970AA"/>
    <w:rsid w:val="0059773A"/>
    <w:rsid w:val="005A0ABA"/>
    <w:rsid w:val="005A298A"/>
    <w:rsid w:val="005A6CB1"/>
    <w:rsid w:val="005B01A9"/>
    <w:rsid w:val="005B340B"/>
    <w:rsid w:val="005B629E"/>
    <w:rsid w:val="005C0476"/>
    <w:rsid w:val="005C0A84"/>
    <w:rsid w:val="005C0C31"/>
    <w:rsid w:val="005C0FDB"/>
    <w:rsid w:val="005C1851"/>
    <w:rsid w:val="005C2E14"/>
    <w:rsid w:val="005C3498"/>
    <w:rsid w:val="005C42EE"/>
    <w:rsid w:val="005C5442"/>
    <w:rsid w:val="005C74B9"/>
    <w:rsid w:val="005D0CA6"/>
    <w:rsid w:val="005D2551"/>
    <w:rsid w:val="005D2DAB"/>
    <w:rsid w:val="005D6F98"/>
    <w:rsid w:val="005E02B9"/>
    <w:rsid w:val="005E1414"/>
    <w:rsid w:val="005E45DC"/>
    <w:rsid w:val="005E50C5"/>
    <w:rsid w:val="005F111B"/>
    <w:rsid w:val="005F2889"/>
    <w:rsid w:val="005F4AFF"/>
    <w:rsid w:val="00600835"/>
    <w:rsid w:val="00602754"/>
    <w:rsid w:val="006070C4"/>
    <w:rsid w:val="00607399"/>
    <w:rsid w:val="00610858"/>
    <w:rsid w:val="0061251D"/>
    <w:rsid w:val="00612DE5"/>
    <w:rsid w:val="00615592"/>
    <w:rsid w:val="00615A8B"/>
    <w:rsid w:val="006162A4"/>
    <w:rsid w:val="00621EE3"/>
    <w:rsid w:val="00622E74"/>
    <w:rsid w:val="00623B9E"/>
    <w:rsid w:val="006314D1"/>
    <w:rsid w:val="00632555"/>
    <w:rsid w:val="00633F00"/>
    <w:rsid w:val="006421AB"/>
    <w:rsid w:val="0064327E"/>
    <w:rsid w:val="00644E2D"/>
    <w:rsid w:val="006451BF"/>
    <w:rsid w:val="00645DAA"/>
    <w:rsid w:val="0064730A"/>
    <w:rsid w:val="00650B82"/>
    <w:rsid w:val="00650E12"/>
    <w:rsid w:val="00651A70"/>
    <w:rsid w:val="00652632"/>
    <w:rsid w:val="0065334A"/>
    <w:rsid w:val="00653394"/>
    <w:rsid w:val="00655BC0"/>
    <w:rsid w:val="00656E73"/>
    <w:rsid w:val="00657DC6"/>
    <w:rsid w:val="00662BF1"/>
    <w:rsid w:val="006671AD"/>
    <w:rsid w:val="006713E9"/>
    <w:rsid w:val="006713F1"/>
    <w:rsid w:val="00673887"/>
    <w:rsid w:val="00673D03"/>
    <w:rsid w:val="00676D78"/>
    <w:rsid w:val="00680BAF"/>
    <w:rsid w:val="00681532"/>
    <w:rsid w:val="00682567"/>
    <w:rsid w:val="006846E0"/>
    <w:rsid w:val="006856AD"/>
    <w:rsid w:val="0068579C"/>
    <w:rsid w:val="006A0145"/>
    <w:rsid w:val="006A173F"/>
    <w:rsid w:val="006A5AFA"/>
    <w:rsid w:val="006A6A83"/>
    <w:rsid w:val="006A71C9"/>
    <w:rsid w:val="006B21F9"/>
    <w:rsid w:val="006B3960"/>
    <w:rsid w:val="006B793D"/>
    <w:rsid w:val="006C3D84"/>
    <w:rsid w:val="006C47B6"/>
    <w:rsid w:val="006C5770"/>
    <w:rsid w:val="006C581E"/>
    <w:rsid w:val="006D4829"/>
    <w:rsid w:val="006E070C"/>
    <w:rsid w:val="006E3DE8"/>
    <w:rsid w:val="006E3FD0"/>
    <w:rsid w:val="006E4DDD"/>
    <w:rsid w:val="006E780D"/>
    <w:rsid w:val="006F028E"/>
    <w:rsid w:val="006F290D"/>
    <w:rsid w:val="006F5943"/>
    <w:rsid w:val="007009AA"/>
    <w:rsid w:val="0070208F"/>
    <w:rsid w:val="007026A0"/>
    <w:rsid w:val="00702FC9"/>
    <w:rsid w:val="007118B1"/>
    <w:rsid w:val="00716292"/>
    <w:rsid w:val="00716B06"/>
    <w:rsid w:val="00717EB8"/>
    <w:rsid w:val="00721F65"/>
    <w:rsid w:val="00722049"/>
    <w:rsid w:val="007224F8"/>
    <w:rsid w:val="00722726"/>
    <w:rsid w:val="00727C21"/>
    <w:rsid w:val="00727C86"/>
    <w:rsid w:val="00727E53"/>
    <w:rsid w:val="00730A20"/>
    <w:rsid w:val="00731B19"/>
    <w:rsid w:val="00733692"/>
    <w:rsid w:val="00735AE2"/>
    <w:rsid w:val="00736A43"/>
    <w:rsid w:val="0073779B"/>
    <w:rsid w:val="007427D6"/>
    <w:rsid w:val="00746BEC"/>
    <w:rsid w:val="00754ACD"/>
    <w:rsid w:val="00755A9D"/>
    <w:rsid w:val="00756294"/>
    <w:rsid w:val="007567C3"/>
    <w:rsid w:val="00757021"/>
    <w:rsid w:val="00763EF0"/>
    <w:rsid w:val="0077309E"/>
    <w:rsid w:val="00777294"/>
    <w:rsid w:val="00780E1C"/>
    <w:rsid w:val="00784CF9"/>
    <w:rsid w:val="00784DBE"/>
    <w:rsid w:val="00785DD9"/>
    <w:rsid w:val="007866DB"/>
    <w:rsid w:val="00786F93"/>
    <w:rsid w:val="00790488"/>
    <w:rsid w:val="00790C04"/>
    <w:rsid w:val="00792BF4"/>
    <w:rsid w:val="00797B3D"/>
    <w:rsid w:val="007A22DC"/>
    <w:rsid w:val="007A54A1"/>
    <w:rsid w:val="007B0555"/>
    <w:rsid w:val="007B0932"/>
    <w:rsid w:val="007B1847"/>
    <w:rsid w:val="007B2FC7"/>
    <w:rsid w:val="007B4D93"/>
    <w:rsid w:val="007B698E"/>
    <w:rsid w:val="007C0A19"/>
    <w:rsid w:val="007C4190"/>
    <w:rsid w:val="007C5DF9"/>
    <w:rsid w:val="007C640C"/>
    <w:rsid w:val="007D0ECC"/>
    <w:rsid w:val="007D4764"/>
    <w:rsid w:val="007D6006"/>
    <w:rsid w:val="007D70FB"/>
    <w:rsid w:val="007D7699"/>
    <w:rsid w:val="007D7BDF"/>
    <w:rsid w:val="007E03D2"/>
    <w:rsid w:val="007E35D9"/>
    <w:rsid w:val="007E4CE6"/>
    <w:rsid w:val="007E5A92"/>
    <w:rsid w:val="007F0171"/>
    <w:rsid w:val="007F1C29"/>
    <w:rsid w:val="007F1CAE"/>
    <w:rsid w:val="007F3963"/>
    <w:rsid w:val="007F5D0B"/>
    <w:rsid w:val="007F6C36"/>
    <w:rsid w:val="00801CBA"/>
    <w:rsid w:val="008042C9"/>
    <w:rsid w:val="00811D79"/>
    <w:rsid w:val="00814469"/>
    <w:rsid w:val="00815514"/>
    <w:rsid w:val="008174E9"/>
    <w:rsid w:val="00817BC0"/>
    <w:rsid w:val="0082357C"/>
    <w:rsid w:val="008253FC"/>
    <w:rsid w:val="0083350A"/>
    <w:rsid w:val="0083366B"/>
    <w:rsid w:val="00842C3F"/>
    <w:rsid w:val="00843A24"/>
    <w:rsid w:val="00847E95"/>
    <w:rsid w:val="0085100D"/>
    <w:rsid w:val="008533F2"/>
    <w:rsid w:val="008545EA"/>
    <w:rsid w:val="00854C72"/>
    <w:rsid w:val="00855509"/>
    <w:rsid w:val="0086375C"/>
    <w:rsid w:val="00863C36"/>
    <w:rsid w:val="00865F9E"/>
    <w:rsid w:val="008703D3"/>
    <w:rsid w:val="00870AB6"/>
    <w:rsid w:val="00872396"/>
    <w:rsid w:val="008732D5"/>
    <w:rsid w:val="0088006B"/>
    <w:rsid w:val="008817B3"/>
    <w:rsid w:val="00882AC3"/>
    <w:rsid w:val="00890239"/>
    <w:rsid w:val="00891663"/>
    <w:rsid w:val="00891F9E"/>
    <w:rsid w:val="008924A0"/>
    <w:rsid w:val="008931B6"/>
    <w:rsid w:val="00893C7F"/>
    <w:rsid w:val="008948F4"/>
    <w:rsid w:val="00895051"/>
    <w:rsid w:val="008A028C"/>
    <w:rsid w:val="008A1A06"/>
    <w:rsid w:val="008A2063"/>
    <w:rsid w:val="008A315A"/>
    <w:rsid w:val="008A3520"/>
    <w:rsid w:val="008A53AC"/>
    <w:rsid w:val="008A5647"/>
    <w:rsid w:val="008A5B5B"/>
    <w:rsid w:val="008B4475"/>
    <w:rsid w:val="008B4AA8"/>
    <w:rsid w:val="008B5AA0"/>
    <w:rsid w:val="008B7212"/>
    <w:rsid w:val="008C0E13"/>
    <w:rsid w:val="008C3276"/>
    <w:rsid w:val="008C459D"/>
    <w:rsid w:val="008C6579"/>
    <w:rsid w:val="008C6CD2"/>
    <w:rsid w:val="008C74D5"/>
    <w:rsid w:val="008D66B0"/>
    <w:rsid w:val="008E39A9"/>
    <w:rsid w:val="008E5709"/>
    <w:rsid w:val="008E612A"/>
    <w:rsid w:val="008E62F9"/>
    <w:rsid w:val="008E6EFC"/>
    <w:rsid w:val="008F3696"/>
    <w:rsid w:val="008F5907"/>
    <w:rsid w:val="008F5BC4"/>
    <w:rsid w:val="00901BFB"/>
    <w:rsid w:val="00905DE7"/>
    <w:rsid w:val="00913AF8"/>
    <w:rsid w:val="0091584B"/>
    <w:rsid w:val="009158F5"/>
    <w:rsid w:val="009219D5"/>
    <w:rsid w:val="009219E6"/>
    <w:rsid w:val="0092218B"/>
    <w:rsid w:val="0092462C"/>
    <w:rsid w:val="009267D1"/>
    <w:rsid w:val="00927B74"/>
    <w:rsid w:val="00927C26"/>
    <w:rsid w:val="00930444"/>
    <w:rsid w:val="00935CCF"/>
    <w:rsid w:val="009377FA"/>
    <w:rsid w:val="00940BBC"/>
    <w:rsid w:val="00944E76"/>
    <w:rsid w:val="00945761"/>
    <w:rsid w:val="00947169"/>
    <w:rsid w:val="0095364C"/>
    <w:rsid w:val="00955BE0"/>
    <w:rsid w:val="00961483"/>
    <w:rsid w:val="009668CE"/>
    <w:rsid w:val="009703E9"/>
    <w:rsid w:val="00973268"/>
    <w:rsid w:val="009779B1"/>
    <w:rsid w:val="009803F3"/>
    <w:rsid w:val="009833D1"/>
    <w:rsid w:val="00985D8E"/>
    <w:rsid w:val="009A086A"/>
    <w:rsid w:val="009A09A5"/>
    <w:rsid w:val="009A278A"/>
    <w:rsid w:val="009A407B"/>
    <w:rsid w:val="009A500C"/>
    <w:rsid w:val="009A5EFF"/>
    <w:rsid w:val="009B0C44"/>
    <w:rsid w:val="009B49F8"/>
    <w:rsid w:val="009B7496"/>
    <w:rsid w:val="009C3993"/>
    <w:rsid w:val="009C4463"/>
    <w:rsid w:val="009D186A"/>
    <w:rsid w:val="009D41E4"/>
    <w:rsid w:val="009D48DD"/>
    <w:rsid w:val="009E003B"/>
    <w:rsid w:val="009E43E2"/>
    <w:rsid w:val="009F0617"/>
    <w:rsid w:val="009F2F82"/>
    <w:rsid w:val="009F7494"/>
    <w:rsid w:val="00A00EB2"/>
    <w:rsid w:val="00A02108"/>
    <w:rsid w:val="00A03FD9"/>
    <w:rsid w:val="00A063A5"/>
    <w:rsid w:val="00A113E5"/>
    <w:rsid w:val="00A12C5A"/>
    <w:rsid w:val="00A14956"/>
    <w:rsid w:val="00A20CC6"/>
    <w:rsid w:val="00A20E17"/>
    <w:rsid w:val="00A274FA"/>
    <w:rsid w:val="00A30297"/>
    <w:rsid w:val="00A30B0B"/>
    <w:rsid w:val="00A31308"/>
    <w:rsid w:val="00A346D6"/>
    <w:rsid w:val="00A36A1A"/>
    <w:rsid w:val="00A42211"/>
    <w:rsid w:val="00A43FD1"/>
    <w:rsid w:val="00A4596F"/>
    <w:rsid w:val="00A465DB"/>
    <w:rsid w:val="00A46C07"/>
    <w:rsid w:val="00A550A5"/>
    <w:rsid w:val="00A56678"/>
    <w:rsid w:val="00A57286"/>
    <w:rsid w:val="00A57DDF"/>
    <w:rsid w:val="00A62479"/>
    <w:rsid w:val="00A64454"/>
    <w:rsid w:val="00A70158"/>
    <w:rsid w:val="00A70492"/>
    <w:rsid w:val="00A7343D"/>
    <w:rsid w:val="00A73516"/>
    <w:rsid w:val="00A75610"/>
    <w:rsid w:val="00A77F1F"/>
    <w:rsid w:val="00A80341"/>
    <w:rsid w:val="00A8352E"/>
    <w:rsid w:val="00A846ED"/>
    <w:rsid w:val="00A84D3A"/>
    <w:rsid w:val="00A86C19"/>
    <w:rsid w:val="00A91002"/>
    <w:rsid w:val="00A91DF6"/>
    <w:rsid w:val="00A941F3"/>
    <w:rsid w:val="00A94B1F"/>
    <w:rsid w:val="00AA03D1"/>
    <w:rsid w:val="00AB15F8"/>
    <w:rsid w:val="00AB3457"/>
    <w:rsid w:val="00AB5BA8"/>
    <w:rsid w:val="00AC415D"/>
    <w:rsid w:val="00AC6021"/>
    <w:rsid w:val="00AC6ABC"/>
    <w:rsid w:val="00AD0FB8"/>
    <w:rsid w:val="00AD113D"/>
    <w:rsid w:val="00AD2140"/>
    <w:rsid w:val="00AD28BC"/>
    <w:rsid w:val="00AD71B5"/>
    <w:rsid w:val="00AE04AF"/>
    <w:rsid w:val="00AE2BE5"/>
    <w:rsid w:val="00AE45B9"/>
    <w:rsid w:val="00AE587B"/>
    <w:rsid w:val="00AE5B80"/>
    <w:rsid w:val="00AE62E7"/>
    <w:rsid w:val="00AF0153"/>
    <w:rsid w:val="00AF14E6"/>
    <w:rsid w:val="00AF7DEF"/>
    <w:rsid w:val="00B00E24"/>
    <w:rsid w:val="00B00FD9"/>
    <w:rsid w:val="00B02636"/>
    <w:rsid w:val="00B03E63"/>
    <w:rsid w:val="00B0610B"/>
    <w:rsid w:val="00B111C3"/>
    <w:rsid w:val="00B23B3A"/>
    <w:rsid w:val="00B27A67"/>
    <w:rsid w:val="00B3243A"/>
    <w:rsid w:val="00B35148"/>
    <w:rsid w:val="00B35C68"/>
    <w:rsid w:val="00B40D44"/>
    <w:rsid w:val="00B4138E"/>
    <w:rsid w:val="00B45253"/>
    <w:rsid w:val="00B4532A"/>
    <w:rsid w:val="00B50860"/>
    <w:rsid w:val="00B51A96"/>
    <w:rsid w:val="00B53F5C"/>
    <w:rsid w:val="00B544D5"/>
    <w:rsid w:val="00B56D32"/>
    <w:rsid w:val="00B56F08"/>
    <w:rsid w:val="00B60FF4"/>
    <w:rsid w:val="00B6102A"/>
    <w:rsid w:val="00B65ECD"/>
    <w:rsid w:val="00B66084"/>
    <w:rsid w:val="00B66C12"/>
    <w:rsid w:val="00B71131"/>
    <w:rsid w:val="00B739DE"/>
    <w:rsid w:val="00B76784"/>
    <w:rsid w:val="00B857E9"/>
    <w:rsid w:val="00B860A8"/>
    <w:rsid w:val="00B862E1"/>
    <w:rsid w:val="00B8736F"/>
    <w:rsid w:val="00B90204"/>
    <w:rsid w:val="00B9136D"/>
    <w:rsid w:val="00B935E2"/>
    <w:rsid w:val="00B96498"/>
    <w:rsid w:val="00BA208B"/>
    <w:rsid w:val="00BA43EB"/>
    <w:rsid w:val="00BA65ED"/>
    <w:rsid w:val="00BB0C41"/>
    <w:rsid w:val="00BB171C"/>
    <w:rsid w:val="00BC02C8"/>
    <w:rsid w:val="00BC0662"/>
    <w:rsid w:val="00BC3466"/>
    <w:rsid w:val="00BC5022"/>
    <w:rsid w:val="00BD25B9"/>
    <w:rsid w:val="00BD276C"/>
    <w:rsid w:val="00BE2D46"/>
    <w:rsid w:val="00BE4A38"/>
    <w:rsid w:val="00BE5CEE"/>
    <w:rsid w:val="00BE60D6"/>
    <w:rsid w:val="00BF0265"/>
    <w:rsid w:val="00BF25ED"/>
    <w:rsid w:val="00BF39AC"/>
    <w:rsid w:val="00C0287B"/>
    <w:rsid w:val="00C02EDA"/>
    <w:rsid w:val="00C0476E"/>
    <w:rsid w:val="00C069AB"/>
    <w:rsid w:val="00C13348"/>
    <w:rsid w:val="00C13422"/>
    <w:rsid w:val="00C15394"/>
    <w:rsid w:val="00C160B1"/>
    <w:rsid w:val="00C20262"/>
    <w:rsid w:val="00C20452"/>
    <w:rsid w:val="00C20721"/>
    <w:rsid w:val="00C21B99"/>
    <w:rsid w:val="00C224CC"/>
    <w:rsid w:val="00C2612D"/>
    <w:rsid w:val="00C26358"/>
    <w:rsid w:val="00C27C0E"/>
    <w:rsid w:val="00C30A43"/>
    <w:rsid w:val="00C31EEE"/>
    <w:rsid w:val="00C3201A"/>
    <w:rsid w:val="00C41EC4"/>
    <w:rsid w:val="00C42031"/>
    <w:rsid w:val="00C42F3A"/>
    <w:rsid w:val="00C4377F"/>
    <w:rsid w:val="00C43B60"/>
    <w:rsid w:val="00C43C45"/>
    <w:rsid w:val="00C44141"/>
    <w:rsid w:val="00C47297"/>
    <w:rsid w:val="00C516C0"/>
    <w:rsid w:val="00C52CDE"/>
    <w:rsid w:val="00C52FCA"/>
    <w:rsid w:val="00C55D3E"/>
    <w:rsid w:val="00C6032A"/>
    <w:rsid w:val="00C64A77"/>
    <w:rsid w:val="00C65288"/>
    <w:rsid w:val="00C6581F"/>
    <w:rsid w:val="00C66434"/>
    <w:rsid w:val="00C66A14"/>
    <w:rsid w:val="00C67020"/>
    <w:rsid w:val="00C7182B"/>
    <w:rsid w:val="00C74D99"/>
    <w:rsid w:val="00C75542"/>
    <w:rsid w:val="00C76F95"/>
    <w:rsid w:val="00C77776"/>
    <w:rsid w:val="00C8176D"/>
    <w:rsid w:val="00C81A01"/>
    <w:rsid w:val="00C81A0B"/>
    <w:rsid w:val="00C87C9F"/>
    <w:rsid w:val="00C934E3"/>
    <w:rsid w:val="00C93C95"/>
    <w:rsid w:val="00C946BD"/>
    <w:rsid w:val="00C97598"/>
    <w:rsid w:val="00CA53A0"/>
    <w:rsid w:val="00CA663E"/>
    <w:rsid w:val="00CB1311"/>
    <w:rsid w:val="00CB3031"/>
    <w:rsid w:val="00CB5E68"/>
    <w:rsid w:val="00CC0C54"/>
    <w:rsid w:val="00CC608B"/>
    <w:rsid w:val="00CC670F"/>
    <w:rsid w:val="00CC75CB"/>
    <w:rsid w:val="00CC7692"/>
    <w:rsid w:val="00CD025D"/>
    <w:rsid w:val="00CD54A5"/>
    <w:rsid w:val="00CD7B8F"/>
    <w:rsid w:val="00CE098C"/>
    <w:rsid w:val="00CE0C1E"/>
    <w:rsid w:val="00CE2B20"/>
    <w:rsid w:val="00CE4710"/>
    <w:rsid w:val="00CE59ED"/>
    <w:rsid w:val="00CE776F"/>
    <w:rsid w:val="00CF3A68"/>
    <w:rsid w:val="00CF5099"/>
    <w:rsid w:val="00CF65D8"/>
    <w:rsid w:val="00CF69D1"/>
    <w:rsid w:val="00D01A52"/>
    <w:rsid w:val="00D03C9D"/>
    <w:rsid w:val="00D0786A"/>
    <w:rsid w:val="00D14DA0"/>
    <w:rsid w:val="00D22DCC"/>
    <w:rsid w:val="00D248BA"/>
    <w:rsid w:val="00D24A81"/>
    <w:rsid w:val="00D27102"/>
    <w:rsid w:val="00D30862"/>
    <w:rsid w:val="00D31779"/>
    <w:rsid w:val="00D318FC"/>
    <w:rsid w:val="00D31AD7"/>
    <w:rsid w:val="00D34140"/>
    <w:rsid w:val="00D41996"/>
    <w:rsid w:val="00D44515"/>
    <w:rsid w:val="00D44EBB"/>
    <w:rsid w:val="00D47EF4"/>
    <w:rsid w:val="00D5103B"/>
    <w:rsid w:val="00D52913"/>
    <w:rsid w:val="00D547AE"/>
    <w:rsid w:val="00D54F53"/>
    <w:rsid w:val="00D55705"/>
    <w:rsid w:val="00D55805"/>
    <w:rsid w:val="00D60567"/>
    <w:rsid w:val="00D65915"/>
    <w:rsid w:val="00D73582"/>
    <w:rsid w:val="00D73DB8"/>
    <w:rsid w:val="00D74396"/>
    <w:rsid w:val="00D904DC"/>
    <w:rsid w:val="00D90C8E"/>
    <w:rsid w:val="00D92DBD"/>
    <w:rsid w:val="00D95ADA"/>
    <w:rsid w:val="00DA32EE"/>
    <w:rsid w:val="00DA5620"/>
    <w:rsid w:val="00DA7C45"/>
    <w:rsid w:val="00DB68F0"/>
    <w:rsid w:val="00DB7EFC"/>
    <w:rsid w:val="00DC186F"/>
    <w:rsid w:val="00DC4A86"/>
    <w:rsid w:val="00DD0EDE"/>
    <w:rsid w:val="00DD2423"/>
    <w:rsid w:val="00DD5248"/>
    <w:rsid w:val="00DD525B"/>
    <w:rsid w:val="00DE2856"/>
    <w:rsid w:val="00DE4EA9"/>
    <w:rsid w:val="00DE5072"/>
    <w:rsid w:val="00DF4703"/>
    <w:rsid w:val="00DF4B98"/>
    <w:rsid w:val="00DF7A86"/>
    <w:rsid w:val="00DF7F83"/>
    <w:rsid w:val="00E018AE"/>
    <w:rsid w:val="00E03068"/>
    <w:rsid w:val="00E05C16"/>
    <w:rsid w:val="00E05E42"/>
    <w:rsid w:val="00E06D4C"/>
    <w:rsid w:val="00E138DC"/>
    <w:rsid w:val="00E15F6D"/>
    <w:rsid w:val="00E25AC2"/>
    <w:rsid w:val="00E25F40"/>
    <w:rsid w:val="00E26AA5"/>
    <w:rsid w:val="00E31BEB"/>
    <w:rsid w:val="00E368A2"/>
    <w:rsid w:val="00E36D46"/>
    <w:rsid w:val="00E37FE3"/>
    <w:rsid w:val="00E415B5"/>
    <w:rsid w:val="00E465DC"/>
    <w:rsid w:val="00E5160C"/>
    <w:rsid w:val="00E57E76"/>
    <w:rsid w:val="00E60312"/>
    <w:rsid w:val="00E60E32"/>
    <w:rsid w:val="00E649ED"/>
    <w:rsid w:val="00E6719F"/>
    <w:rsid w:val="00E67600"/>
    <w:rsid w:val="00E67C47"/>
    <w:rsid w:val="00E70C18"/>
    <w:rsid w:val="00E711EA"/>
    <w:rsid w:val="00E721CC"/>
    <w:rsid w:val="00E74529"/>
    <w:rsid w:val="00E74E0C"/>
    <w:rsid w:val="00E75B22"/>
    <w:rsid w:val="00E77535"/>
    <w:rsid w:val="00E8078F"/>
    <w:rsid w:val="00E80C6A"/>
    <w:rsid w:val="00E816D7"/>
    <w:rsid w:val="00E824D7"/>
    <w:rsid w:val="00E82E9B"/>
    <w:rsid w:val="00E841E3"/>
    <w:rsid w:val="00E857C6"/>
    <w:rsid w:val="00E92A0E"/>
    <w:rsid w:val="00E93A73"/>
    <w:rsid w:val="00E942BA"/>
    <w:rsid w:val="00E960EB"/>
    <w:rsid w:val="00EA152B"/>
    <w:rsid w:val="00EA5D83"/>
    <w:rsid w:val="00EA76F6"/>
    <w:rsid w:val="00EB0F4D"/>
    <w:rsid w:val="00EB44F9"/>
    <w:rsid w:val="00EB56C2"/>
    <w:rsid w:val="00EB6341"/>
    <w:rsid w:val="00EC0CA5"/>
    <w:rsid w:val="00EC51C2"/>
    <w:rsid w:val="00EC52F7"/>
    <w:rsid w:val="00ED0B42"/>
    <w:rsid w:val="00ED1598"/>
    <w:rsid w:val="00ED1D95"/>
    <w:rsid w:val="00ED7827"/>
    <w:rsid w:val="00EE0E1E"/>
    <w:rsid w:val="00EE2B89"/>
    <w:rsid w:val="00EE34E5"/>
    <w:rsid w:val="00EE609C"/>
    <w:rsid w:val="00EE7541"/>
    <w:rsid w:val="00EF06E7"/>
    <w:rsid w:val="00EF4BDA"/>
    <w:rsid w:val="00EF656D"/>
    <w:rsid w:val="00F101DB"/>
    <w:rsid w:val="00F118EA"/>
    <w:rsid w:val="00F15961"/>
    <w:rsid w:val="00F2232D"/>
    <w:rsid w:val="00F305AA"/>
    <w:rsid w:val="00F32690"/>
    <w:rsid w:val="00F32A3F"/>
    <w:rsid w:val="00F33A64"/>
    <w:rsid w:val="00F34273"/>
    <w:rsid w:val="00F35B2D"/>
    <w:rsid w:val="00F363D9"/>
    <w:rsid w:val="00F412F0"/>
    <w:rsid w:val="00F414B6"/>
    <w:rsid w:val="00F5038E"/>
    <w:rsid w:val="00F505F6"/>
    <w:rsid w:val="00F509DA"/>
    <w:rsid w:val="00F55B95"/>
    <w:rsid w:val="00F56D4E"/>
    <w:rsid w:val="00F61100"/>
    <w:rsid w:val="00F63E47"/>
    <w:rsid w:val="00F6427E"/>
    <w:rsid w:val="00F644F0"/>
    <w:rsid w:val="00F66D7A"/>
    <w:rsid w:val="00F672AE"/>
    <w:rsid w:val="00F67AB4"/>
    <w:rsid w:val="00F73F38"/>
    <w:rsid w:val="00F74C8C"/>
    <w:rsid w:val="00F83B58"/>
    <w:rsid w:val="00F90DBA"/>
    <w:rsid w:val="00F93634"/>
    <w:rsid w:val="00F956B2"/>
    <w:rsid w:val="00F96B67"/>
    <w:rsid w:val="00FA36E0"/>
    <w:rsid w:val="00FA3EF8"/>
    <w:rsid w:val="00FA4532"/>
    <w:rsid w:val="00FB35C4"/>
    <w:rsid w:val="00FB4AF9"/>
    <w:rsid w:val="00FB52B9"/>
    <w:rsid w:val="00FC02CC"/>
    <w:rsid w:val="00FC3ECB"/>
    <w:rsid w:val="00FC5954"/>
    <w:rsid w:val="00FC7761"/>
    <w:rsid w:val="00FD377F"/>
    <w:rsid w:val="00FE30F9"/>
    <w:rsid w:val="00FE62B0"/>
    <w:rsid w:val="00FF18BD"/>
    <w:rsid w:val="00FF1CA4"/>
    <w:rsid w:val="00FF2056"/>
    <w:rsid w:val="00FF21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818533"/>
  <w15:docId w15:val="{A07F7D0C-ABCC-44EB-AB44-BF74F0AE9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74396"/>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B634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F3F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F3FB4"/>
    <w:rPr>
      <w:rFonts w:asciiTheme="majorHAnsi" w:eastAsiaTheme="majorEastAsia" w:hAnsiTheme="majorHAnsi" w:cstheme="majorBidi"/>
      <w:color w:val="17365D" w:themeColor="text2" w:themeShade="BF"/>
      <w:spacing w:val="5"/>
      <w:kern w:val="28"/>
      <w:sz w:val="52"/>
      <w:szCs w:val="52"/>
    </w:rPr>
  </w:style>
  <w:style w:type="paragraph" w:styleId="En-tte">
    <w:name w:val="header"/>
    <w:basedOn w:val="Normal"/>
    <w:link w:val="En-tteCar"/>
    <w:uiPriority w:val="99"/>
    <w:unhideWhenUsed/>
    <w:rsid w:val="001F3FB4"/>
    <w:pPr>
      <w:tabs>
        <w:tab w:val="center" w:pos="4536"/>
        <w:tab w:val="right" w:pos="9072"/>
      </w:tabs>
      <w:spacing w:after="0" w:line="240" w:lineRule="auto"/>
    </w:pPr>
  </w:style>
  <w:style w:type="character" w:customStyle="1" w:styleId="En-tteCar">
    <w:name w:val="En-tête Car"/>
    <w:basedOn w:val="Policepardfaut"/>
    <w:link w:val="En-tte"/>
    <w:uiPriority w:val="99"/>
    <w:rsid w:val="001F3FB4"/>
  </w:style>
  <w:style w:type="paragraph" w:styleId="Pieddepage">
    <w:name w:val="footer"/>
    <w:basedOn w:val="Normal"/>
    <w:link w:val="PieddepageCar"/>
    <w:uiPriority w:val="99"/>
    <w:unhideWhenUsed/>
    <w:rsid w:val="001F3FB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3FB4"/>
  </w:style>
  <w:style w:type="character" w:customStyle="1" w:styleId="Titre1Car">
    <w:name w:val="Titre 1 Car"/>
    <w:basedOn w:val="Policepardfaut"/>
    <w:link w:val="Titre1"/>
    <w:uiPriority w:val="9"/>
    <w:rsid w:val="00D74396"/>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863C36"/>
    <w:rPr>
      <w:color w:val="0000FF" w:themeColor="hyperlink"/>
      <w:u w:val="single"/>
    </w:rPr>
  </w:style>
  <w:style w:type="paragraph" w:styleId="Notedebasdepage">
    <w:name w:val="footnote text"/>
    <w:basedOn w:val="Normal"/>
    <w:link w:val="NotedebasdepageCar"/>
    <w:uiPriority w:val="99"/>
    <w:semiHidden/>
    <w:unhideWhenUsed/>
    <w:rsid w:val="00863C36"/>
    <w:pPr>
      <w:spacing w:after="0" w:line="240" w:lineRule="auto"/>
      <w:jc w:val="both"/>
    </w:pPr>
    <w:rPr>
      <w:sz w:val="20"/>
      <w:szCs w:val="20"/>
    </w:rPr>
  </w:style>
  <w:style w:type="character" w:customStyle="1" w:styleId="NotedebasdepageCar">
    <w:name w:val="Note de bas de page Car"/>
    <w:basedOn w:val="Policepardfaut"/>
    <w:link w:val="Notedebasdepage"/>
    <w:uiPriority w:val="99"/>
    <w:semiHidden/>
    <w:rsid w:val="00863C36"/>
    <w:rPr>
      <w:sz w:val="20"/>
      <w:szCs w:val="20"/>
    </w:rPr>
  </w:style>
  <w:style w:type="character" w:styleId="Appelnotedebasdep">
    <w:name w:val="footnote reference"/>
    <w:basedOn w:val="Policepardfaut"/>
    <w:uiPriority w:val="99"/>
    <w:semiHidden/>
    <w:unhideWhenUsed/>
    <w:rsid w:val="00863C36"/>
    <w:rPr>
      <w:vertAlign w:val="superscript"/>
    </w:rPr>
  </w:style>
  <w:style w:type="character" w:customStyle="1" w:styleId="Titre2Car">
    <w:name w:val="Titre 2 Car"/>
    <w:basedOn w:val="Policepardfaut"/>
    <w:link w:val="Titre2"/>
    <w:uiPriority w:val="9"/>
    <w:rsid w:val="00EB6341"/>
    <w:rPr>
      <w:rFonts w:asciiTheme="majorHAnsi" w:eastAsiaTheme="majorEastAsia" w:hAnsiTheme="majorHAnsi" w:cstheme="majorBidi"/>
      <w:color w:val="365F91" w:themeColor="accent1" w:themeShade="BF"/>
      <w:sz w:val="26"/>
      <w:szCs w:val="26"/>
    </w:rPr>
  </w:style>
  <w:style w:type="paragraph" w:styleId="Paragraphedeliste">
    <w:name w:val="List Paragraph"/>
    <w:basedOn w:val="Normal"/>
    <w:uiPriority w:val="34"/>
    <w:qFormat/>
    <w:rsid w:val="006E3FD0"/>
    <w:pPr>
      <w:ind w:left="720"/>
      <w:contextualSpacing/>
    </w:pPr>
  </w:style>
  <w:style w:type="table" w:styleId="Grilledutableau">
    <w:name w:val="Table Grid"/>
    <w:basedOn w:val="TableauNormal"/>
    <w:uiPriority w:val="59"/>
    <w:unhideWhenUsed/>
    <w:rsid w:val="00A46C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A572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860413">
      <w:bodyDiv w:val="1"/>
      <w:marLeft w:val="0"/>
      <w:marRight w:val="0"/>
      <w:marTop w:val="0"/>
      <w:marBottom w:val="0"/>
      <w:divBdr>
        <w:top w:val="none" w:sz="0" w:space="0" w:color="auto"/>
        <w:left w:val="none" w:sz="0" w:space="0" w:color="auto"/>
        <w:bottom w:val="none" w:sz="0" w:space="0" w:color="auto"/>
        <w:right w:val="none" w:sz="0" w:space="0" w:color="auto"/>
      </w:divBdr>
    </w:div>
    <w:div w:id="957947982">
      <w:bodyDiv w:val="1"/>
      <w:marLeft w:val="0"/>
      <w:marRight w:val="0"/>
      <w:marTop w:val="0"/>
      <w:marBottom w:val="0"/>
      <w:divBdr>
        <w:top w:val="none" w:sz="0" w:space="0" w:color="auto"/>
        <w:left w:val="none" w:sz="0" w:space="0" w:color="auto"/>
        <w:bottom w:val="none" w:sz="0" w:space="0" w:color="auto"/>
        <w:right w:val="none" w:sz="0" w:space="0" w:color="auto"/>
      </w:divBdr>
    </w:div>
    <w:div w:id="1209028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ettre.ehess.fr/index.php?588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home.uni-osnabrueck.de/bschwisc/archives/deuxmodeles.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331</TotalTime>
  <Pages>5</Pages>
  <Words>1890</Words>
  <Characters>10396</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Thales SPACE</Company>
  <LinksUpToDate>false</LinksUpToDate>
  <CharactersWithSpaces>12262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Damien Gouteux</dc:creator>
  <cp:lastModifiedBy>Damien Gouteux</cp:lastModifiedBy>
  <cp:revision>30</cp:revision>
  <dcterms:created xsi:type="dcterms:W3CDTF">2019-05-14T07:18:00Z</dcterms:created>
  <dcterms:modified xsi:type="dcterms:W3CDTF">2019-05-19T13:15:00Z</dcterms:modified>
</cp:coreProperties>
</file>