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0644A" w14:textId="77777777" w:rsidR="0095390B" w:rsidRDefault="0095390B" w:rsidP="00970897">
      <w:pPr>
        <w:pStyle w:val="Titre"/>
        <w:pBdr>
          <w:bottom w:val="single" w:sz="4" w:space="1" w:color="4472C4" w:themeColor="accent1"/>
        </w:pBdr>
        <w:ind w:firstLine="0"/>
        <w:jc w:val="center"/>
      </w:pPr>
      <w:r>
        <w:t>Bilan du mémoire et projet professionnel</w:t>
      </w:r>
    </w:p>
    <w:p w14:paraId="130430A5" w14:textId="252E3061" w:rsidR="0095390B" w:rsidRDefault="0095390B" w:rsidP="00635D0E">
      <w:pPr>
        <w:pStyle w:val="Titre1"/>
      </w:pPr>
      <w:r>
        <w:t>I. Bilan du mémoire</w:t>
      </w:r>
    </w:p>
    <w:p w14:paraId="7802C091" w14:textId="35D8C8CD" w:rsidR="00C039D6" w:rsidRPr="00C039D6" w:rsidRDefault="00C039D6" w:rsidP="00635D0E">
      <w:pPr>
        <w:pStyle w:val="Titre2"/>
      </w:pPr>
      <w:r>
        <w:t xml:space="preserve">I.1 </w:t>
      </w:r>
      <w:r w:rsidRPr="00C039D6">
        <w:t>Problématique de départ et résultats</w:t>
      </w:r>
    </w:p>
    <w:p w14:paraId="3C12FA2A" w14:textId="045DF21D" w:rsidR="00983FBB" w:rsidRDefault="008F6973" w:rsidP="00983FBB">
      <w:r>
        <w:t>Notre mémoire portait sur les titres et les noms sous-spécifiés. Les titres étaient déjà l’objet d’étude de notre travail de première année</w:t>
      </w:r>
      <w:r w:rsidR="000A4B36">
        <w:t>,</w:t>
      </w:r>
      <w:r>
        <w:t xml:space="preserve"> où nous avions étudié les récurrences </w:t>
      </w:r>
      <w:r w:rsidR="000A4B36">
        <w:t xml:space="preserve">lexico-syntaxiques </w:t>
      </w:r>
      <w:r>
        <w:t xml:space="preserve">après le double point. Nous avions découvert que des noms privilégient fortement </w:t>
      </w:r>
      <w:r w:rsidR="00983FBB">
        <w:t>la</w:t>
      </w:r>
      <w:r>
        <w:t xml:space="preserve"> position </w:t>
      </w:r>
      <w:r w:rsidR="00983FBB">
        <w:t xml:space="preserve">de premier nom </w:t>
      </w:r>
      <w:r>
        <w:t xml:space="preserve">après le double point, comme </w:t>
      </w:r>
      <w:r>
        <w:rPr>
          <w:i/>
          <w:iCs/>
        </w:rPr>
        <w:t>approche, problème</w:t>
      </w:r>
      <w:r w:rsidR="000A4B36">
        <w:rPr>
          <w:i/>
          <w:iCs/>
        </w:rPr>
        <w:t xml:space="preserve"> </w:t>
      </w:r>
      <w:r w:rsidR="000A4B36">
        <w:t>et</w:t>
      </w:r>
      <w:r>
        <w:rPr>
          <w:i/>
          <w:iCs/>
        </w:rPr>
        <w:t xml:space="preserve"> outil</w:t>
      </w:r>
      <w:r>
        <w:t>.</w:t>
      </w:r>
      <w:r w:rsidR="00983FBB">
        <w:t xml:space="preserve"> En l’absence de verbe dans les titres, ce premier nom </w:t>
      </w:r>
      <w:r>
        <w:t xml:space="preserve">est </w:t>
      </w:r>
      <w:r w:rsidR="000A4B36">
        <w:t xml:space="preserve">aussi </w:t>
      </w:r>
      <w:r>
        <w:t>la tête du segment qui démarre</w:t>
      </w:r>
      <w:r w:rsidR="00983FBB">
        <w:t xml:space="preserve"> </w:t>
      </w:r>
      <w:r w:rsidR="000A4B36">
        <w:t>après le double point</w:t>
      </w:r>
      <w:r>
        <w:t>.</w:t>
      </w:r>
    </w:p>
    <w:p w14:paraId="36420997" w14:textId="6F38199E" w:rsidR="00983FBB" w:rsidRDefault="00983FBB" w:rsidP="00983FBB">
      <w:r>
        <w:t>N</w:t>
      </w:r>
      <w:r w:rsidR="008F6973">
        <w:t xml:space="preserve">ous avions remarqué une similitude lexicale </w:t>
      </w:r>
      <w:r w:rsidR="00D731AA">
        <w:t xml:space="preserve">entre ces noms et </w:t>
      </w:r>
      <w:r w:rsidR="008F6973">
        <w:t>la liste des noms fréquemment employés de façon sous-spécifiée</w:t>
      </w:r>
      <w:r w:rsidR="00C51D47">
        <w:t xml:space="preserve"> (</w:t>
      </w:r>
      <w:r w:rsidR="00C51D47" w:rsidRPr="00C51D47">
        <w:rPr>
          <w:b/>
          <w:bCs/>
        </w:rPr>
        <w:t>NSS</w:t>
      </w:r>
      <w:r w:rsidR="00C51D47">
        <w:t>)</w:t>
      </w:r>
      <w:r w:rsidR="00D731AA">
        <w:t xml:space="preserve">. Cet emploi se caractérise par </w:t>
      </w:r>
      <w:r w:rsidR="001E6450">
        <w:t xml:space="preserve">un </w:t>
      </w:r>
      <w:r w:rsidR="00D731AA">
        <w:t xml:space="preserve">faible contenu </w:t>
      </w:r>
      <w:r w:rsidR="001E6450">
        <w:t>sémanti</w:t>
      </w:r>
      <w:r w:rsidR="00D731AA">
        <w:t>que et</w:t>
      </w:r>
      <w:r w:rsidR="001E6450">
        <w:t xml:space="preserve"> </w:t>
      </w:r>
      <w:r w:rsidR="00D731AA">
        <w:t>son</w:t>
      </w:r>
      <w:r w:rsidR="001E6450">
        <w:t xml:space="preserve"> sens est complété par un contenu spécifiant, relié</w:t>
      </w:r>
      <w:r w:rsidR="00D731AA">
        <w:t xml:space="preserve"> au NSS</w:t>
      </w:r>
      <w:r w:rsidR="001E6450">
        <w:t xml:space="preserve"> par une construction spécificationnelle</w:t>
      </w:r>
      <w:r w:rsidR="00160AF1">
        <w:t xml:space="preserve"> (</w:t>
      </w:r>
      <w:r w:rsidR="00160AF1" w:rsidRPr="00160AF1">
        <w:rPr>
          <w:b/>
          <w:bCs/>
        </w:rPr>
        <w:t>CS</w:t>
      </w:r>
      <w:r w:rsidR="00160AF1">
        <w:t>)</w:t>
      </w:r>
      <w:r w:rsidR="001E6450">
        <w:t>.</w:t>
      </w:r>
      <w:r w:rsidR="008F6973">
        <w:t xml:space="preserve"> </w:t>
      </w:r>
      <w:r w:rsidR="00D731AA">
        <w:t>Ses</w:t>
      </w:r>
      <w:r w:rsidR="001E6450">
        <w:t xml:space="preserve"> trois fonctions sont, cognitivement, la création de concepts temporaires, sémantiquement, la caractérisation de ceux-ci, et</w:t>
      </w:r>
      <w:r w:rsidR="00D731AA">
        <w:t>,</w:t>
      </w:r>
      <w:r w:rsidR="001E6450">
        <w:t xml:space="preserve"> au niveau discursif, une capacité d’emploi quasi-pronominale </w:t>
      </w:r>
      <w:r w:rsidR="00160AF1">
        <w:t>pour faire</w:t>
      </w:r>
      <w:r w:rsidR="001E6450">
        <w:t xml:space="preserve"> référence au concept. </w:t>
      </w:r>
      <w:r w:rsidR="008F6973">
        <w:t xml:space="preserve">On </w:t>
      </w:r>
      <w:r w:rsidR="00160AF1">
        <w:t>voulait donc savoir</w:t>
      </w:r>
      <w:r w:rsidR="008F6973">
        <w:t xml:space="preserve"> si les têtes détectées étaient </w:t>
      </w:r>
      <w:r w:rsidR="00160AF1">
        <w:t xml:space="preserve">des NSS </w:t>
      </w:r>
      <w:r w:rsidR="001E6450">
        <w:t>inclus dans une construction</w:t>
      </w:r>
      <w:r w:rsidR="00160AF1">
        <w:t xml:space="preserve"> spécificationnelle</w:t>
      </w:r>
      <w:r w:rsidR="001E6450">
        <w:t xml:space="preserve">, </w:t>
      </w:r>
      <w:r>
        <w:t>en étendant notre recherche à toutes les têtes de segments d’un titre.</w:t>
      </w:r>
    </w:p>
    <w:p w14:paraId="3C69AF14" w14:textId="234FCF3B" w:rsidR="00950EA1" w:rsidRDefault="00983FBB" w:rsidP="00983FBB">
      <w:r>
        <w:t xml:space="preserve">Nous avons réussi à sélectionner les têtes de segments, très majoritairement nominales, </w:t>
      </w:r>
      <w:r w:rsidR="00160AF1">
        <w:t xml:space="preserve">vérifiant ainsi que </w:t>
      </w:r>
      <w:r>
        <w:t xml:space="preserve">les titres sont essentiellement des syntagmes nominaux. Nous avons ensuite étudié la variation des têtes entre les domaines pour distinguer deux classes : </w:t>
      </w:r>
      <w:r w:rsidR="001E6450">
        <w:t xml:space="preserve">les </w:t>
      </w:r>
      <w:r>
        <w:t xml:space="preserve">têtes spécifiques et </w:t>
      </w:r>
      <w:r w:rsidR="001E6450">
        <w:t xml:space="preserve">les </w:t>
      </w:r>
      <w:r>
        <w:t xml:space="preserve">têtes transdisciplinaires. </w:t>
      </w:r>
      <w:r w:rsidR="00160AF1">
        <w:t xml:space="preserve">Pour </w:t>
      </w:r>
      <w:r w:rsidR="00950EA1">
        <w:t>identifier les emplois sous-spécifiés</w:t>
      </w:r>
      <w:r w:rsidR="00160AF1">
        <w:t>, nous utilisions d’abord l</w:t>
      </w:r>
      <w:r w:rsidR="00950EA1">
        <w:t>es définitions opératoires fondées sur une complémentation de</w:t>
      </w:r>
      <w:r w:rsidR="00160AF1">
        <w:t>s</w:t>
      </w:r>
      <w:r w:rsidR="00950EA1">
        <w:t xml:space="preserve"> noms par une proposition conjonctive ou infinitive</w:t>
      </w:r>
      <w:r w:rsidR="00160AF1">
        <w:t>.</w:t>
      </w:r>
      <w:r w:rsidR="00950EA1">
        <w:t xml:space="preserve"> </w:t>
      </w:r>
      <w:r w:rsidR="00160AF1">
        <w:t xml:space="preserve">Très </w:t>
      </w:r>
      <w:r w:rsidR="00950EA1">
        <w:t>sélectives</w:t>
      </w:r>
      <w:r w:rsidR="001E6450">
        <w:t>,</w:t>
      </w:r>
      <w:r w:rsidR="00950EA1">
        <w:t xml:space="preserve"> elles don</w:t>
      </w:r>
      <w:r w:rsidR="00160AF1">
        <w:t>n</w:t>
      </w:r>
      <w:r w:rsidR="00950EA1">
        <w:t xml:space="preserve">ent </w:t>
      </w:r>
      <w:r w:rsidR="00160AF1">
        <w:t xml:space="preserve">très </w:t>
      </w:r>
      <w:r w:rsidR="00950EA1">
        <w:t>peu de résultats</w:t>
      </w:r>
      <w:r w:rsidR="00160AF1">
        <w:t xml:space="preserve"> sur les titres</w:t>
      </w:r>
      <w:r w:rsidR="00950EA1">
        <w:t>, du fait de l</w:t>
      </w:r>
      <w:r w:rsidR="00160AF1">
        <w:t>eur</w:t>
      </w:r>
      <w:r w:rsidR="00950EA1">
        <w:t xml:space="preserve"> nature averbal</w:t>
      </w:r>
      <w:r w:rsidR="00160AF1">
        <w:t>e</w:t>
      </w:r>
      <w:r w:rsidR="00950EA1">
        <w:t>.</w:t>
      </w:r>
    </w:p>
    <w:p w14:paraId="63CCB820" w14:textId="0A30C772" w:rsidR="00950EA1" w:rsidRDefault="00950EA1" w:rsidP="00983FBB">
      <w:r>
        <w:t xml:space="preserve">Nous avons donc </w:t>
      </w:r>
      <w:r w:rsidR="00C51D47">
        <w:t>été obligé de</w:t>
      </w:r>
      <w:r>
        <w:t xml:space="preserve"> recourir à une autre définition opératoire, la complémentation du nom sous-spécifié par un syntagme prépositionnel incluant un syntagme nominal</w:t>
      </w:r>
      <w:r w:rsidR="00C51D47">
        <w:t xml:space="preserve"> : </w:t>
      </w:r>
      <w:r w:rsidR="00C51D47" w:rsidRPr="009A0B16">
        <w:rPr>
          <w:b/>
          <w:bCs/>
          <w:bdr w:val="single" w:sz="4" w:space="0" w:color="4472C4" w:themeColor="accent1"/>
          <w:shd w:val="clear" w:color="auto" w:fill="E7E6E6" w:themeFill="background2"/>
        </w:rPr>
        <w:t>NSS</w:t>
      </w:r>
      <w:r w:rsidR="00C51D47" w:rsidRPr="009A0B16">
        <w:rPr>
          <w:bdr w:val="single" w:sz="4" w:space="0" w:color="4472C4" w:themeColor="accent1"/>
          <w:shd w:val="clear" w:color="auto" w:fill="E7E6E6" w:themeFill="background2"/>
        </w:rPr>
        <w:t xml:space="preserve"> de NC</w:t>
      </w:r>
      <w:r>
        <w:t xml:space="preserve">. </w:t>
      </w:r>
      <w:r w:rsidR="00C51D47">
        <w:t>La notion de</w:t>
      </w:r>
      <w:r w:rsidR="00934F4C">
        <w:t xml:space="preserve"> </w:t>
      </w:r>
      <w:r w:rsidR="00C51D47">
        <w:t>définition opératoire est rejetée par Schmid (2018, p. 113)</w:t>
      </w:r>
      <w:r w:rsidR="00934F4C">
        <w:t> :</w:t>
      </w:r>
      <w:r w:rsidR="00C51D47">
        <w:t xml:space="preserve"> </w:t>
      </w:r>
      <w:r w:rsidR="00934F4C">
        <w:t xml:space="preserve">elles </w:t>
      </w:r>
      <w:r w:rsidR="00C51D47">
        <w:t>sont un moyen opérationnel de trouver des candidats à la sous-spécification,</w:t>
      </w:r>
      <w:r w:rsidR="00934F4C">
        <w:t xml:space="preserve"> et non </w:t>
      </w:r>
      <w:r w:rsidR="00C51D47">
        <w:t>une définition</w:t>
      </w:r>
      <w:r w:rsidR="00934F4C">
        <w:t>. Les</w:t>
      </w:r>
      <w:r w:rsidR="00C51D47">
        <w:t xml:space="preserve"> capacité</w:t>
      </w:r>
      <w:r w:rsidR="00934F4C">
        <w:t>s</w:t>
      </w:r>
      <w:r w:rsidR="00C51D47">
        <w:t xml:space="preserve"> </w:t>
      </w:r>
      <w:r w:rsidR="00934F4C">
        <w:t xml:space="preserve">de sélection des opérationnalisations </w:t>
      </w:r>
      <w:r w:rsidR="00C51D47">
        <w:t>varie</w:t>
      </w:r>
      <w:r w:rsidR="00934F4C">
        <w:t>nt</w:t>
      </w:r>
      <w:r w:rsidR="00C51D47">
        <w:t xml:space="preserve"> </w:t>
      </w:r>
      <w:r w:rsidR="00934F4C">
        <w:t>et, p</w:t>
      </w:r>
      <w:r w:rsidR="00C51D47">
        <w:t xml:space="preserve">our NSS de NC, elle est très faible souligne Schmid (2000, p. 26 ; </w:t>
      </w:r>
      <w:r w:rsidR="00C51D47" w:rsidRPr="00950EA1">
        <w:t>2018, p. 1</w:t>
      </w:r>
      <w:r w:rsidR="00C51D47">
        <w:t>1</w:t>
      </w:r>
      <w:r w:rsidR="00C51D47" w:rsidRPr="00950EA1">
        <w:t>5</w:t>
      </w:r>
      <w:r w:rsidR="00C51D47">
        <w:t>)</w:t>
      </w:r>
      <w:r w:rsidR="00934F4C">
        <w:t xml:space="preserve"> car elle </w:t>
      </w:r>
      <w:r w:rsidR="00C51D47">
        <w:t>retourne trop de bruits</w:t>
      </w:r>
      <w:r w:rsidR="00934F4C">
        <w:t xml:space="preserve"> comme des couples </w:t>
      </w:r>
      <w:r w:rsidR="00934F4C" w:rsidRPr="009A0B16">
        <w:rPr>
          <w:bdr w:val="single" w:sz="4" w:space="0" w:color="4472C4" w:themeColor="accent1"/>
          <w:shd w:val="clear" w:color="auto" w:fill="E7E6E6" w:themeFill="background2"/>
        </w:rPr>
        <w:t>partie de totalité</w:t>
      </w:r>
      <w:r w:rsidR="00934F4C">
        <w:t>.</w:t>
      </w:r>
    </w:p>
    <w:p w14:paraId="4DE16F6D" w14:textId="6B47FFD5" w:rsidR="00983FBB" w:rsidRDefault="00C51D47" w:rsidP="00A40BC1">
      <w:r>
        <w:t>Les résultats étant trop nombreux pour une annotation manuelle, nous avons essayé de les filtrer</w:t>
      </w:r>
      <w:r w:rsidR="00934F4C">
        <w:t>,</w:t>
      </w:r>
      <w:r>
        <w:t xml:space="preserve"> en </w:t>
      </w:r>
      <w:r w:rsidR="00934F4C">
        <w:t>observant que</w:t>
      </w:r>
      <w:r>
        <w:t xml:space="preserve"> </w:t>
      </w:r>
      <w:r w:rsidR="001E6450">
        <w:t xml:space="preserve">les propositions </w:t>
      </w:r>
      <w:r w:rsidR="00934F4C">
        <w:t>ont</w:t>
      </w:r>
      <w:r w:rsidR="001E6450">
        <w:t xml:space="preserve"> un verbe et qu</w:t>
      </w:r>
      <w:r w:rsidR="00934F4C">
        <w:t>e l’</w:t>
      </w:r>
      <w:r w:rsidR="001E6450">
        <w:t>anglais</w:t>
      </w:r>
      <w:r w:rsidR="00934F4C">
        <w:t xml:space="preserve"> utilise </w:t>
      </w:r>
      <w:r w:rsidR="001E6450">
        <w:t>des gérondifs ou des déverbaux</w:t>
      </w:r>
      <w:r w:rsidR="00934F4C">
        <w:t xml:space="preserve"> pour </w:t>
      </w:r>
      <w:r w:rsidR="00934F4C" w:rsidRPr="009A0B16">
        <w:rPr>
          <w:bdr w:val="single" w:sz="4" w:space="0" w:color="4472C4" w:themeColor="accent1"/>
          <w:shd w:val="clear" w:color="auto" w:fill="E7E6E6" w:themeFill="background2"/>
        </w:rPr>
        <w:t>NC</w:t>
      </w:r>
      <w:r w:rsidR="00934F4C">
        <w:t> : nous restreignons notre sélection au</w:t>
      </w:r>
      <w:r w:rsidR="00970897">
        <w:t>x</w:t>
      </w:r>
      <w:r w:rsidR="00934F4C">
        <w:t xml:space="preserve"> nom</w:t>
      </w:r>
      <w:r w:rsidR="00970897">
        <w:t>s désignant</w:t>
      </w:r>
      <w:r w:rsidR="00934F4C">
        <w:t xml:space="preserve"> </w:t>
      </w:r>
      <w:r w:rsidR="001E6450">
        <w:t>une action</w:t>
      </w:r>
      <w:r w:rsidR="00934F4C">
        <w:t>, e</w:t>
      </w:r>
      <w:r w:rsidR="001E6450">
        <w:t xml:space="preserve">n utilisant la base </w:t>
      </w:r>
      <w:proofErr w:type="spellStart"/>
      <w:r w:rsidR="001E6450">
        <w:t>VerbAction</w:t>
      </w:r>
      <w:proofErr w:type="spellEnd"/>
      <w:r w:rsidR="00934F4C">
        <w:t>.</w:t>
      </w:r>
      <w:r w:rsidR="001E6450">
        <w:t xml:space="preserve"> </w:t>
      </w:r>
      <w:r w:rsidR="00970897">
        <w:t xml:space="preserve">Néanmoins, </w:t>
      </w:r>
      <w:r w:rsidR="001E6450">
        <w:t xml:space="preserve">il y avait </w:t>
      </w:r>
      <w:r w:rsidR="00970897">
        <w:t xml:space="preserve">encore trop de résultats et trop </w:t>
      </w:r>
      <w:r w:rsidR="001E6450">
        <w:t>d</w:t>
      </w:r>
      <w:r w:rsidR="00970897">
        <w:t>e</w:t>
      </w:r>
      <w:r w:rsidR="001E6450">
        <w:t xml:space="preserve"> bruit pour </w:t>
      </w:r>
      <w:r w:rsidR="00970897">
        <w:t xml:space="preserve">permettre </w:t>
      </w:r>
      <w:r w:rsidR="001E6450">
        <w:t>une annotation manuelle</w:t>
      </w:r>
      <w:r w:rsidR="00970897">
        <w:t xml:space="preserve"> et ainsi </w:t>
      </w:r>
      <w:r w:rsidR="001E6450">
        <w:t xml:space="preserve">calculer une précision. Le </w:t>
      </w:r>
      <w:r w:rsidR="00A40BC1">
        <w:t xml:space="preserve">calcul du </w:t>
      </w:r>
      <w:r w:rsidR="001E6450">
        <w:t>rappel étant lui</w:t>
      </w:r>
      <w:r w:rsidR="00970897">
        <w:t xml:space="preserve"> impossible</w:t>
      </w:r>
      <w:r w:rsidR="00A40BC1">
        <w:t>.</w:t>
      </w:r>
    </w:p>
    <w:p w14:paraId="262C95F7" w14:textId="3B98E058" w:rsidR="00C039D6" w:rsidRDefault="00C039D6" w:rsidP="00635D0E">
      <w:pPr>
        <w:pStyle w:val="Titre2"/>
      </w:pPr>
      <w:r>
        <w:t>I.2 Difficultés rencontré</w:t>
      </w:r>
      <w:r w:rsidR="00186969">
        <w:t>e</w:t>
      </w:r>
      <w:r>
        <w:t>s</w:t>
      </w:r>
    </w:p>
    <w:p w14:paraId="5D76D0FF" w14:textId="043A3BBA" w:rsidR="00C039D6" w:rsidRDefault="00186969" w:rsidP="00635D0E">
      <w:r>
        <w:t xml:space="preserve">La </w:t>
      </w:r>
      <w:r w:rsidR="00A40BC1">
        <w:t>première</w:t>
      </w:r>
      <w:r>
        <w:t xml:space="preserve"> difficulté rencontrée dans notre travail a été organisationnelle : il s’agit autant d’un manque de temps que de la qualité du temps disponible, après une journée de travail et en soirée</w:t>
      </w:r>
      <w:r w:rsidR="00A40BC1">
        <w:t>, ou entre midi et deux</w:t>
      </w:r>
      <w:r>
        <w:t xml:space="preserve">. </w:t>
      </w:r>
      <w:r w:rsidR="009A357C">
        <w:t xml:space="preserve">Les suivis des problématiques professionnelles et universitaires étaient parfois durs à combiner. </w:t>
      </w:r>
      <w:r>
        <w:t xml:space="preserve">Les weekends étaient plus propices pour avancer sur le mémoire, mais je ne pouvais pas entièrement m’y consacrer, à cause d’autres matières, comme le projet en commun notamment, </w:t>
      </w:r>
      <w:r w:rsidR="005B35DD">
        <w:t xml:space="preserve">que nous avons très mal géré, </w:t>
      </w:r>
      <w:r>
        <w:t>ou les nécessités de la vie quotidienne.</w:t>
      </w:r>
      <w:r w:rsidR="000416FA">
        <w:t xml:space="preserve"> Une fois les autres matières terminées et grâce à </w:t>
      </w:r>
      <w:r w:rsidR="009A357C">
        <w:t xml:space="preserve">au </w:t>
      </w:r>
      <w:r w:rsidR="000416FA">
        <w:t xml:space="preserve">support familial, cette situation s’est améliorée mais </w:t>
      </w:r>
      <w:r w:rsidR="005B35DD">
        <w:t xml:space="preserve">très </w:t>
      </w:r>
      <w:r w:rsidR="000416FA">
        <w:t>tardivement sur l’année.</w:t>
      </w:r>
      <w:r w:rsidR="00A40BC1">
        <w:t xml:space="preserve"> Sur la fin, la pression pour rédiger et trouver une solution au problème</w:t>
      </w:r>
      <w:r w:rsidR="009A357C">
        <w:t>, ainsi que la fatigue accumulée,</w:t>
      </w:r>
      <w:r w:rsidR="00A40BC1">
        <w:t xml:space="preserve"> a handicapé mes capacités de réflexion et de recul</w:t>
      </w:r>
      <w:r w:rsidR="009A357C">
        <w:t xml:space="preserve"> sur mon travail</w:t>
      </w:r>
      <w:r w:rsidR="00A40BC1">
        <w:t>.</w:t>
      </w:r>
    </w:p>
    <w:p w14:paraId="02E6CA78" w14:textId="31A8C8DD" w:rsidR="00A40BC1" w:rsidRDefault="00C27F5E" w:rsidP="00635D0E">
      <w:r>
        <w:lastRenderedPageBreak/>
        <w:t xml:space="preserve">La deuxième difficulté est un manque </w:t>
      </w:r>
      <w:r w:rsidR="00A40BC1">
        <w:t xml:space="preserve">d’appropriation de l’outil statistique qui est indispensable à </w:t>
      </w:r>
      <w:r w:rsidR="005B35DD">
        <w:t>la linguistique de corpus</w:t>
      </w:r>
      <w:r w:rsidR="00A40BC1">
        <w:t>. L’ampleur du corpus et la pression finale ne m’ont pas permis de me replonger dans mes cours et de poser le</w:t>
      </w:r>
      <w:r w:rsidR="005B35DD">
        <w:t xml:space="preserve"> problème</w:t>
      </w:r>
      <w:r w:rsidR="00A40BC1">
        <w:t xml:space="preserve"> sereinement</w:t>
      </w:r>
      <w:r w:rsidR="005B35DD">
        <w:t>. M</w:t>
      </w:r>
      <w:r w:rsidR="005C6D6C">
        <w:t xml:space="preserve">on travail manque </w:t>
      </w:r>
      <w:r w:rsidR="005B35DD">
        <w:t xml:space="preserve">selon moi de graphiques, </w:t>
      </w:r>
      <w:r w:rsidR="005C6D6C">
        <w:t xml:space="preserve">de tests </w:t>
      </w:r>
      <w:r w:rsidR="005B35DD">
        <w:t xml:space="preserve">de </w:t>
      </w:r>
      <w:r w:rsidR="005C6D6C">
        <w:t>corrélation</w:t>
      </w:r>
      <w:r w:rsidR="005B35DD">
        <w:t>/</w:t>
      </w:r>
      <w:r w:rsidR="005C6D6C">
        <w:t xml:space="preserve">covariance, </w:t>
      </w:r>
      <w:r w:rsidR="005B35DD">
        <w:t xml:space="preserve">de calculs </w:t>
      </w:r>
      <w:r w:rsidR="005C6D6C">
        <w:t xml:space="preserve">d’intervalles de confiance et de </w:t>
      </w:r>
      <w:r w:rsidR="005C6D6C" w:rsidRPr="005C6D6C">
        <w:t>χ</w:t>
      </w:r>
      <w:r w:rsidR="005C6D6C" w:rsidRPr="005C6D6C">
        <w:rPr>
          <w:vertAlign w:val="superscript"/>
        </w:rPr>
        <w:t>2</w:t>
      </w:r>
      <w:r w:rsidR="005C6D6C">
        <w:t>.</w:t>
      </w:r>
    </w:p>
    <w:p w14:paraId="2EB1E261" w14:textId="415BAECD" w:rsidR="005B35DD" w:rsidRDefault="00C27F5E" w:rsidP="00031E47">
      <w:r>
        <w:t xml:space="preserve">La troisième difficulté est liée </w:t>
      </w:r>
      <w:r w:rsidR="00A40BC1">
        <w:t>à un manque d’aisance avec le savoir savant.</w:t>
      </w:r>
      <w:r w:rsidR="005B35DD">
        <w:t xml:space="preserve"> Ce savoir </w:t>
      </w:r>
      <w:r w:rsidR="007E7080">
        <w:t>abondant, parcouru d’écoles et de courants stratifiés au fil des ans</w:t>
      </w:r>
      <w:r w:rsidR="005B35DD">
        <w:t xml:space="preserve">, est contradictoire, </w:t>
      </w:r>
      <w:r w:rsidR="007E7080">
        <w:t xml:space="preserve">et </w:t>
      </w:r>
      <w:r w:rsidR="005B35DD">
        <w:t xml:space="preserve">multiplie les </w:t>
      </w:r>
      <w:r w:rsidR="00FD7D7C">
        <w:t xml:space="preserve">approches et les </w:t>
      </w:r>
      <w:r w:rsidR="005B35DD">
        <w:t>définitions, qui ne sont pas forcément concordantes, sur des objets d’études proches mais différents</w:t>
      </w:r>
      <w:r w:rsidR="00910141">
        <w:t xml:space="preserve"> (NP de </w:t>
      </w:r>
      <w:proofErr w:type="spellStart"/>
      <w:r w:rsidR="00910141">
        <w:t>Huygue</w:t>
      </w:r>
      <w:proofErr w:type="spellEnd"/>
      <w:r w:rsidR="002F6215">
        <w:t>,</w:t>
      </w:r>
      <w:r w:rsidR="00910141">
        <w:t xml:space="preserve"> 2018</w:t>
      </w:r>
      <w:r w:rsidR="002F6215">
        <w:t xml:space="preserve"> vs</w:t>
      </w:r>
      <w:r w:rsidR="00910141">
        <w:t xml:space="preserve"> NSS de Legallois, 2018)</w:t>
      </w:r>
      <w:r w:rsidR="005B35DD">
        <w:t xml:space="preserve">. Ce foisonnement, observé </w:t>
      </w:r>
      <w:r w:rsidR="00FD7D7C">
        <w:t xml:space="preserve">notamment par </w:t>
      </w:r>
      <w:r w:rsidR="005B35DD">
        <w:t>Riegel (2006, p. 27-26), m’a semblé  particulièrement aigu en linguistique</w:t>
      </w:r>
      <w:r w:rsidR="00FD7D7C">
        <w:t xml:space="preserve">, d’autant plus que les noms sous-spécifiés </w:t>
      </w:r>
      <w:r w:rsidR="00570792">
        <w:t>sont une notion complexe, brassant</w:t>
      </w:r>
      <w:r w:rsidR="00FD7D7C">
        <w:t xml:space="preserve"> lexique, syntaxe, sémantique, discours</w:t>
      </w:r>
      <w:r w:rsidR="007E7080">
        <w:t xml:space="preserve"> et</w:t>
      </w:r>
      <w:r w:rsidR="00FD7D7C">
        <w:t xml:space="preserve"> </w:t>
      </w:r>
      <w:r w:rsidR="00570792">
        <w:t>cognition</w:t>
      </w:r>
      <w:r w:rsidR="007E7080">
        <w:t>.</w:t>
      </w:r>
    </w:p>
    <w:p w14:paraId="4A04B55B" w14:textId="10B8E21A" w:rsidR="00BE0022" w:rsidRDefault="00FD7D7C" w:rsidP="00B27A79">
      <w:r>
        <w:t xml:space="preserve">La quatrième difficulté </w:t>
      </w:r>
      <w:r w:rsidR="00570792">
        <w:t>élargie la précédente : il s’agit de</w:t>
      </w:r>
      <w:r>
        <w:t xml:space="preserve"> </w:t>
      </w:r>
      <w:r w:rsidR="00570792">
        <w:t>m</w:t>
      </w:r>
      <w:r>
        <w:t xml:space="preserve">a méthodologie de la recherche  </w:t>
      </w:r>
      <w:r w:rsidR="00570792">
        <w:t>A</w:t>
      </w:r>
      <w:r w:rsidR="00840FAC">
        <w:t xml:space="preserve">yant sauté les deux premières années de licence de linguistique et n’ayant jamais été formé à la méthodologie de la recherche, je traîne des manques que le rythme du master ne m’a pas permis de combler. </w:t>
      </w:r>
      <w:r w:rsidR="00C146DA">
        <w:t xml:space="preserve">Ces deux </w:t>
      </w:r>
      <w:r w:rsidR="00B27A79">
        <w:t>dernières difficultés</w:t>
      </w:r>
      <w:r w:rsidR="00C146DA">
        <w:t xml:space="preserve"> sont</w:t>
      </w:r>
      <w:r w:rsidR="00840FAC">
        <w:t xml:space="preserve"> visible</w:t>
      </w:r>
      <w:r w:rsidR="00C146DA">
        <w:t>s</w:t>
      </w:r>
      <w:r w:rsidR="00840FAC">
        <w:t xml:space="preserve"> dans </w:t>
      </w:r>
      <w:r w:rsidR="00B27A79">
        <w:t>ma</w:t>
      </w:r>
      <w:r w:rsidR="00840FAC">
        <w:t xml:space="preserve"> tendance à la</w:t>
      </w:r>
      <w:r w:rsidR="00B70842">
        <w:t xml:space="preserve"> redéfinition</w:t>
      </w:r>
      <w:r w:rsidR="00840FAC">
        <w:t xml:space="preserve">, </w:t>
      </w:r>
      <w:r w:rsidR="00B27A79">
        <w:t xml:space="preserve">qui est un moyen de me positionner </w:t>
      </w:r>
      <w:r w:rsidR="00C146DA">
        <w:t xml:space="preserve">face au foisonnement notionnel, et </w:t>
      </w:r>
      <w:r w:rsidR="00B27A79">
        <w:t xml:space="preserve">mon </w:t>
      </w:r>
      <w:r w:rsidR="00B27A79" w:rsidRPr="00B27A79">
        <w:t xml:space="preserve">embarras </w:t>
      </w:r>
      <w:r w:rsidR="00B6444B">
        <w:t>à</w:t>
      </w:r>
      <w:r w:rsidR="00C146DA">
        <w:t xml:space="preserve"> </w:t>
      </w:r>
      <w:r w:rsidR="00B27A79">
        <w:t>m</w:t>
      </w:r>
      <w:r w:rsidR="00C146DA">
        <w:t xml:space="preserve">e positionner face aux </w:t>
      </w:r>
      <w:r w:rsidR="00DD51A8">
        <w:t xml:space="preserve">autres </w:t>
      </w:r>
      <w:r w:rsidR="00C146DA">
        <w:t>travaux</w:t>
      </w:r>
      <w:r w:rsidR="00A57FC4">
        <w:t xml:space="preserve"> et à les sélectio</w:t>
      </w:r>
      <w:r w:rsidR="00AC5CA5">
        <w:t>n</w:t>
      </w:r>
      <w:r w:rsidR="00A57FC4">
        <w:t>ner</w:t>
      </w:r>
      <w:r w:rsidR="00C146DA">
        <w:t>.</w:t>
      </w:r>
      <w:r w:rsidR="00B27A79">
        <w:t xml:space="preserve"> </w:t>
      </w:r>
      <w:r w:rsidR="00C146DA">
        <w:t xml:space="preserve">L’exemple le plus frappant </w:t>
      </w:r>
      <w:r w:rsidR="00B27A79">
        <w:t>reste</w:t>
      </w:r>
      <w:r w:rsidR="00C146DA">
        <w:t xml:space="preserve"> </w:t>
      </w:r>
      <w:r w:rsidR="00293CAD">
        <w:t xml:space="preserve">pour moi </w:t>
      </w:r>
      <w:r w:rsidR="00C146DA">
        <w:t>la longue liste d</w:t>
      </w:r>
      <w:r w:rsidR="00DD51A8">
        <w:t>’articles</w:t>
      </w:r>
      <w:r w:rsidR="00293CAD">
        <w:t xml:space="preserve"> publiés</w:t>
      </w:r>
      <w:r w:rsidR="00C146DA">
        <w:t xml:space="preserve"> mesurant la performance d’un titre en termes de nombres de citations. </w:t>
      </w:r>
      <w:r w:rsidR="00955C01">
        <w:t>Ramener ce nombre aux seules caractéristiques du titre revient à étudier quelle voiture est la plus rapide en regardant sa couleur.</w:t>
      </w:r>
      <w:r w:rsidR="00955C01">
        <w:t xml:space="preserve"> </w:t>
      </w:r>
      <w:r w:rsidR="00293CAD">
        <w:t xml:space="preserve">Seuls quelques travaux, cités par </w:t>
      </w:r>
      <w:r w:rsidR="00293CAD" w:rsidRPr="00293CAD">
        <w:t>Merrill</w:t>
      </w:r>
      <w:r w:rsidR="00293CAD">
        <w:t xml:space="preserve"> </w:t>
      </w:r>
      <w:r w:rsidR="00293CAD" w:rsidRPr="00293CAD">
        <w:t xml:space="preserve">et </w:t>
      </w:r>
      <w:proofErr w:type="spellStart"/>
      <w:r w:rsidR="00293CAD" w:rsidRPr="00293CAD">
        <w:t>Knipps</w:t>
      </w:r>
      <w:proofErr w:type="spellEnd"/>
      <w:r w:rsidR="00293CAD">
        <w:t xml:space="preserve"> (</w:t>
      </w:r>
      <w:r w:rsidR="00293CAD" w:rsidRPr="00293CAD">
        <w:t>2014)</w:t>
      </w:r>
      <w:r w:rsidR="00293CAD">
        <w:t xml:space="preserve">, prennent en compte </w:t>
      </w:r>
      <w:r w:rsidR="00293CAD">
        <w:t>l</w:t>
      </w:r>
      <w:r w:rsidR="00955C01">
        <w:t>’</w:t>
      </w:r>
      <w:r w:rsidR="00955C01" w:rsidRPr="00955C01">
        <w:rPr>
          <w:i/>
          <w:iCs/>
        </w:rPr>
        <w:t>impact factor</w:t>
      </w:r>
      <w:r w:rsidR="00955C01">
        <w:t xml:space="preserve"> du</w:t>
      </w:r>
      <w:r w:rsidR="00293CAD">
        <w:t xml:space="preserve"> journal où il a été publié, </w:t>
      </w:r>
      <w:r w:rsidR="00293CAD">
        <w:t>sans même parler d</w:t>
      </w:r>
      <w:r w:rsidR="00293CAD">
        <w:t xml:space="preserve">es auteurs ou </w:t>
      </w:r>
      <w:r w:rsidR="00293CAD">
        <w:t>du</w:t>
      </w:r>
      <w:r w:rsidR="00293CAD">
        <w:t xml:space="preserve"> contenu de l’article</w:t>
      </w:r>
      <w:r w:rsidR="00293CAD">
        <w:t xml:space="preserve">. </w:t>
      </w:r>
    </w:p>
    <w:p w14:paraId="029548BC" w14:textId="22019A1F" w:rsidR="00BE0022" w:rsidRDefault="00031E47" w:rsidP="00031E47">
      <w:pPr>
        <w:pStyle w:val="Titre2"/>
      </w:pPr>
      <w:r>
        <w:t>I.3 Perspectives de recherche</w:t>
      </w:r>
    </w:p>
    <w:p w14:paraId="38082330" w14:textId="59A9B99F" w:rsidR="002C51D2" w:rsidRDefault="002C51D2" w:rsidP="00635D0E">
      <w:r>
        <w:t>En premier lieu, améliorer le</w:t>
      </w:r>
      <w:r w:rsidR="00DD51A8">
        <w:t>s</w:t>
      </w:r>
      <w:r>
        <w:t xml:space="preserve"> calcul</w:t>
      </w:r>
      <w:r w:rsidR="00DD51A8">
        <w:t>s</w:t>
      </w:r>
      <w:r>
        <w:t xml:space="preserve"> des têtes spécifiques et des distances entre les domaines.</w:t>
      </w:r>
    </w:p>
    <w:p w14:paraId="7B245569" w14:textId="0274059E" w:rsidR="009A0B16" w:rsidRDefault="009A0B16" w:rsidP="00635D0E">
      <w:r>
        <w:t>Notre sélection automatique ne ramène malheureusement pas que des emplois sous-spécifiés : un tri manuel est nécessaire ensuite. Nous devons nous contenter que notre filtre sélectionne seulement des candidats à la sous-spécification. Nous aurions dû constituer un sous-ensemble du corpus, annoté manuellement, et mesurer les taux de rappel et de précision du filtre.</w:t>
      </w:r>
      <w:r w:rsidR="002F6215">
        <w:t xml:space="preserve"> Augmenter la sélectivité du filtre permet de se concentrer sur les candidatures les plus probables.</w:t>
      </w:r>
    </w:p>
    <w:p w14:paraId="4351A090" w14:textId="458136FA" w:rsidR="009A0B16" w:rsidRDefault="00B70842" w:rsidP="00635D0E">
      <w:r w:rsidRPr="009A0B16">
        <w:t>Les têtes transdisciplinaires sont</w:t>
      </w:r>
      <w:r w:rsidR="009A0B16" w:rsidRPr="009A0B16">
        <w:t xml:space="preserve"> de meilleures candidates à la sous-spécifications que les autres têtes.</w:t>
      </w:r>
      <w:r w:rsidR="009A0B16">
        <w:t xml:space="preserve"> Néanmoins, nous n’avons pas calculé globalement si le fait d’être une tête est corrélé au fait d’être candidat à la sous-spécification. Chercher </w:t>
      </w:r>
      <w:r w:rsidR="009A0B16" w:rsidRPr="009A0B16">
        <w:rPr>
          <w:bdr w:val="single" w:sz="4" w:space="0" w:color="4472C4" w:themeColor="accent1"/>
          <w:shd w:val="clear" w:color="auto" w:fill="E7E6E6" w:themeFill="background2"/>
        </w:rPr>
        <w:t>NC de NC</w:t>
      </w:r>
      <w:r w:rsidR="009A0B16">
        <w:t xml:space="preserve"> dans notre corpus de titre</w:t>
      </w:r>
      <w:r w:rsidR="001D3C26">
        <w:t>s</w:t>
      </w:r>
      <w:r w:rsidR="009A0B16">
        <w:t xml:space="preserve"> remonterait bien trop de résultats, mais on peut déjà restreindre le premier </w:t>
      </w:r>
      <w:r w:rsidR="009A0B16" w:rsidRPr="00910141">
        <w:rPr>
          <w:bdr w:val="single" w:sz="4" w:space="0" w:color="4472C4" w:themeColor="accent1"/>
          <w:shd w:val="clear" w:color="auto" w:fill="E7E6E6" w:themeFill="background2"/>
        </w:rPr>
        <w:t>NC</w:t>
      </w:r>
      <w:r w:rsidR="009A0B16">
        <w:t xml:space="preserve"> aux seuls lemmes de nos têtes transdisciplinaires. On aurait ainsi quatre variables booléennes : (A) être tête, (B) être tête transdisciplinaire, (C) être candidat à la sous-spécification, (D) être un lemme de tête transdisciplinaire. Si B implique A et D, on peut tester les corrélations entre A et C</w:t>
      </w:r>
      <w:r w:rsidR="00910141">
        <w:t>,</w:t>
      </w:r>
      <w:r w:rsidR="009A0B16">
        <w:t xml:space="preserve"> </w:t>
      </w:r>
      <w:r w:rsidR="00910141">
        <w:t>D et C, et mieux quantifier notre travail sur la relation entre B et C.</w:t>
      </w:r>
    </w:p>
    <w:p w14:paraId="0962550D" w14:textId="234D9575" w:rsidR="009A0B16" w:rsidRDefault="00620F57" w:rsidP="00AC174C">
      <w:r>
        <w:t xml:space="preserve">Nous avons repéré la construction </w:t>
      </w:r>
      <w:r w:rsidRPr="00AC174C">
        <w:rPr>
          <w:bdr w:val="single" w:sz="4" w:space="0" w:color="4472C4" w:themeColor="accent1"/>
          <w:shd w:val="clear" w:color="auto" w:fill="E7E6E6" w:themeFill="background2"/>
        </w:rPr>
        <w:t xml:space="preserve">le problème posé par </w:t>
      </w:r>
      <w:r w:rsidR="00AC174C">
        <w:rPr>
          <w:bdr w:val="single" w:sz="4" w:space="0" w:color="4472C4" w:themeColor="accent1"/>
          <w:shd w:val="clear" w:color="auto" w:fill="E7E6E6" w:themeFill="background2"/>
        </w:rPr>
        <w:t>X</w:t>
      </w:r>
      <w:r>
        <w:t xml:space="preserve">. Nous </w:t>
      </w:r>
      <w:r w:rsidR="00AC174C">
        <w:t xml:space="preserve">pensons qu’il y a des constructions spécificationnelles propres à certains NSS ou certaines classes de NSS, comme </w:t>
      </w:r>
      <w:r w:rsidR="00AC174C" w:rsidRPr="00AC174C">
        <w:rPr>
          <w:bdr w:val="single" w:sz="4" w:space="0" w:color="4472C4" w:themeColor="accent1"/>
          <w:shd w:val="clear" w:color="auto" w:fill="E7E6E6" w:themeFill="background2"/>
        </w:rPr>
        <w:t>avoir pour objectif</w:t>
      </w:r>
      <w:r w:rsidR="00AC174C">
        <w:rPr>
          <w:bdr w:val="single" w:sz="4" w:space="0" w:color="4472C4" w:themeColor="accent1"/>
          <w:shd w:val="clear" w:color="auto" w:fill="E7E6E6" w:themeFill="background2"/>
        </w:rPr>
        <w:t>/résultat</w:t>
      </w:r>
      <w:r w:rsidR="00AC174C" w:rsidRPr="00AC174C">
        <w:rPr>
          <w:bdr w:val="single" w:sz="4" w:space="0" w:color="4472C4" w:themeColor="accent1"/>
          <w:shd w:val="clear" w:color="auto" w:fill="E7E6E6" w:themeFill="background2"/>
        </w:rPr>
        <w:t xml:space="preserve"> de X</w:t>
      </w:r>
      <w:r w:rsidR="00AC174C">
        <w:t xml:space="preserve"> (</w:t>
      </w:r>
      <w:r w:rsidR="00AC174C" w:rsidRPr="00AC174C">
        <w:t>Nakamura, 2017</w:t>
      </w:r>
      <w:r w:rsidR="00AC174C">
        <w:t xml:space="preserve"> ; Roze et al., </w:t>
      </w:r>
      <w:r w:rsidR="00AC174C" w:rsidRPr="00AC174C">
        <w:t>2014)</w:t>
      </w:r>
      <w:r w:rsidR="00AC174C">
        <w:t>, qui demandent</w:t>
      </w:r>
      <w:r w:rsidR="001D3C26">
        <w:t xml:space="preserve"> des</w:t>
      </w:r>
      <w:r w:rsidR="00AC174C">
        <w:t xml:space="preserve"> investigations.</w:t>
      </w:r>
    </w:p>
    <w:p w14:paraId="2599378E" w14:textId="77F80F68" w:rsidR="00AC174C" w:rsidRDefault="00AC174C" w:rsidP="00AC174C">
      <w:r>
        <w:t>L’interprétation sémantique automatique des titres a toujours été ce qui a motivé mes travaux de première et seconde années. Repérer les NSS</w:t>
      </w:r>
      <w:r w:rsidR="00BC764C">
        <w:t>, c’est repérer dans le discours la constitution de concepts et leurs caractérisations</w:t>
      </w:r>
      <w:r w:rsidR="004F3D19">
        <w:t>, et empêcher l’interprétation des NSS comme des noms pleins</w:t>
      </w:r>
      <w:r w:rsidR="00BC764C">
        <w:t>.</w:t>
      </w:r>
      <w:r w:rsidR="004F3D19">
        <w:t xml:space="preserve"> Nous n’avons pas pu aborder globalement ce problème, conscient à présent que c’est une problématique très vaste pour la recherche</w:t>
      </w:r>
      <w:r w:rsidR="002C51D2">
        <w:t>, mais notre filtre perfectionné pourrait être un petit pas dans ce sens</w:t>
      </w:r>
      <w:r w:rsidR="004F3D19">
        <w:t>.</w:t>
      </w:r>
    </w:p>
    <w:p w14:paraId="22CAE18A" w14:textId="77777777" w:rsidR="0095390B" w:rsidRDefault="0095390B" w:rsidP="00031E47">
      <w:pPr>
        <w:pStyle w:val="Titre1"/>
        <w:pageBreakBefore/>
      </w:pPr>
      <w:r>
        <w:lastRenderedPageBreak/>
        <w:t>II. Projet professionnel</w:t>
      </w:r>
    </w:p>
    <w:p w14:paraId="703F7E49" w14:textId="61BA86DA" w:rsidR="00BE07DE" w:rsidRDefault="00BE07DE" w:rsidP="00635D0E">
      <w:pPr>
        <w:pStyle w:val="Titre2"/>
      </w:pPr>
      <w:r>
        <w:t>II.1 Apports du master</w:t>
      </w:r>
    </w:p>
    <w:p w14:paraId="2A60CC4F" w14:textId="1E03AEE6" w:rsidR="00034F69" w:rsidRDefault="00635D0E" w:rsidP="00635D0E">
      <w:r>
        <w:t>Le master LITL s’appuie sur deux domaines scientifiques : la linguistique et l’informatique. À ces deux domaines principaux s’ajoute</w:t>
      </w:r>
      <w:r w:rsidR="00034F69">
        <w:t>nt</w:t>
      </w:r>
      <w:r>
        <w:t xml:space="preserve"> </w:t>
      </w:r>
      <w:r w:rsidR="00034F69">
        <w:t>la statistique</w:t>
      </w:r>
      <w:r w:rsidR="00E44936">
        <w:t>,</w:t>
      </w:r>
      <w:r w:rsidR="00034F69">
        <w:t xml:space="preserve"> </w:t>
      </w:r>
      <w:r>
        <w:t>l’ergonomie</w:t>
      </w:r>
      <w:r w:rsidR="00E44936">
        <w:t xml:space="preserve"> et la recherche.</w:t>
      </w:r>
    </w:p>
    <w:p w14:paraId="31233DE0" w14:textId="7472A807" w:rsidR="003222A8" w:rsidRDefault="00F264E2" w:rsidP="005112D8">
      <w:pPr>
        <w:pStyle w:val="Titre3"/>
      </w:pPr>
      <w:r>
        <w:t xml:space="preserve">II.1.1 </w:t>
      </w:r>
      <w:r w:rsidR="003222A8">
        <w:t>App</w:t>
      </w:r>
      <w:r w:rsidR="00C146DA">
        <w:t>o</w:t>
      </w:r>
      <w:r w:rsidR="003222A8">
        <w:t>rt</w:t>
      </w:r>
      <w:r w:rsidR="00C146DA">
        <w:t>s</w:t>
      </w:r>
      <w:r w:rsidR="003222A8">
        <w:t xml:space="preserve"> de l’informatique : </w:t>
      </w:r>
      <w:r>
        <w:t>Python, B</w:t>
      </w:r>
      <w:r w:rsidR="003222A8">
        <w:t xml:space="preserve">ig </w:t>
      </w:r>
      <w:r>
        <w:t>D</w:t>
      </w:r>
      <w:r w:rsidR="003222A8">
        <w:t xml:space="preserve">ata et </w:t>
      </w:r>
      <w:r w:rsidR="006C1C2A">
        <w:t>a</w:t>
      </w:r>
      <w:r w:rsidR="003222A8">
        <w:t xml:space="preserve">pprentissage </w:t>
      </w:r>
      <w:r>
        <w:t>a</w:t>
      </w:r>
      <w:r w:rsidR="003222A8">
        <w:t>utomatisé</w:t>
      </w:r>
    </w:p>
    <w:p w14:paraId="714A20C9" w14:textId="1AD903F9" w:rsidR="002060B7" w:rsidRDefault="00034F69" w:rsidP="00635D0E">
      <w:r>
        <w:t>En informatique, le principal outil a été le langage de programmation Python</w:t>
      </w:r>
      <w:r w:rsidR="001878A3">
        <w:t>, devenu en quelques années un des langages les plus utilisés dans le monde</w:t>
      </w:r>
      <w:r w:rsidR="001878A3">
        <w:rPr>
          <w:rStyle w:val="Appelnotedebasdep"/>
        </w:rPr>
        <w:footnoteReference w:id="1"/>
      </w:r>
      <w:r>
        <w:t xml:space="preserve">. Bien que </w:t>
      </w:r>
      <w:r w:rsidR="007F5B7B">
        <w:t xml:space="preserve">je le pratique </w:t>
      </w:r>
      <w:r>
        <w:t xml:space="preserve">depuis 2005, ces deux années </w:t>
      </w:r>
      <w:r w:rsidR="007F5B7B">
        <w:t>m’</w:t>
      </w:r>
      <w:r>
        <w:t>ont permis d’en apprendre encore plus et de l’exploiter au maximum de ses capacités, en manipulant de</w:t>
      </w:r>
      <w:r w:rsidR="0042657B">
        <w:t xml:space="preserve"> larges</w:t>
      </w:r>
      <w:r>
        <w:t xml:space="preserve"> volumes de données</w:t>
      </w:r>
      <w:r w:rsidR="0055331B">
        <w:t xml:space="preserve"> dans le cadre de la linguistique de corpus</w:t>
      </w:r>
      <w:r>
        <w:t>.</w:t>
      </w:r>
    </w:p>
    <w:p w14:paraId="4C52F52C" w14:textId="155276A4" w:rsidR="00034F69" w:rsidRDefault="0055331B" w:rsidP="0055331B">
      <w:r>
        <w:t>Au-delà du texte, c</w:t>
      </w:r>
      <w:r w:rsidR="00034F69">
        <w:t xml:space="preserve">e changement d’échelle, </w:t>
      </w:r>
      <w:r w:rsidR="007F5B7B">
        <w:t>m’</w:t>
      </w:r>
      <w:r>
        <w:t xml:space="preserve">a entraîné dans </w:t>
      </w:r>
      <w:r w:rsidR="00034F69">
        <w:t xml:space="preserve">un nouveau domaine de l’informatique, </w:t>
      </w:r>
      <w:r>
        <w:t xml:space="preserve">appelé communément le « big data », </w:t>
      </w:r>
      <w:r w:rsidR="00034F69">
        <w:t xml:space="preserve">avec ses problématiques, </w:t>
      </w:r>
      <w:r w:rsidR="007F5B7B">
        <w:t xml:space="preserve">ses </w:t>
      </w:r>
      <w:r w:rsidR="00034F69">
        <w:t xml:space="preserve">outils et </w:t>
      </w:r>
      <w:r w:rsidR="007F5B7B">
        <w:t xml:space="preserve">les </w:t>
      </w:r>
      <w:r w:rsidR="00034F69">
        <w:t xml:space="preserve">possibilités </w:t>
      </w:r>
      <w:r w:rsidR="007F5B7B">
        <w:t>qu’il apporte</w:t>
      </w:r>
      <w:r w:rsidR="00034F69">
        <w:t xml:space="preserve">. Notamment, la capacité de valoriser </w:t>
      </w:r>
      <w:r w:rsidR="007F5B7B">
        <w:t>d</w:t>
      </w:r>
      <w:r w:rsidR="00034F69">
        <w:t>es données</w:t>
      </w:r>
      <w:r>
        <w:t xml:space="preserve">, d’en tirer informations, connaissances et prédictions, </w:t>
      </w:r>
      <w:r w:rsidR="00034F69">
        <w:t>pour reprendre la pyramide DIKW</w:t>
      </w:r>
      <w:r w:rsidR="00034F69">
        <w:rPr>
          <w:rStyle w:val="Appelnotedebasdep"/>
        </w:rPr>
        <w:footnoteReference w:id="2"/>
      </w:r>
      <w:r w:rsidR="002060B7">
        <w:t xml:space="preserve"> (</w:t>
      </w:r>
      <w:proofErr w:type="spellStart"/>
      <w:r w:rsidR="002060B7">
        <w:t>Zins</w:t>
      </w:r>
      <w:proofErr w:type="spellEnd"/>
      <w:r w:rsidR="002060B7">
        <w:t>, 2007)</w:t>
      </w:r>
      <w:r>
        <w:t>.</w:t>
      </w:r>
    </w:p>
    <w:p w14:paraId="45A7E329" w14:textId="5CA7D535" w:rsidR="0055331B" w:rsidRDefault="007F5B7B" w:rsidP="0055331B">
      <w:r>
        <w:t>Un des outils du big data e</w:t>
      </w:r>
      <w:r w:rsidR="0042657B">
        <w:t>s</w:t>
      </w:r>
      <w:r>
        <w:t>t un a</w:t>
      </w:r>
      <w:r w:rsidR="0055331B">
        <w:t xml:space="preserve">utre </w:t>
      </w:r>
      <w:r>
        <w:t>apport du master</w:t>
      </w:r>
      <w:r w:rsidR="0055331B">
        <w:t> : l’apprentissage automatique supervisée ou non</w:t>
      </w:r>
      <w:r>
        <w:t>, techniques qui appartiennent au champ de l’intelligence artificielle</w:t>
      </w:r>
      <w:r w:rsidR="0055331B">
        <w:t>. Les possibilités pratiques de cet outil sont considérables</w:t>
      </w:r>
      <w:r w:rsidR="001878A3">
        <w:t xml:space="preserve"> et</w:t>
      </w:r>
      <w:r w:rsidR="0055331B">
        <w:t xml:space="preserve"> </w:t>
      </w:r>
      <w:r w:rsidR="001878A3">
        <w:t>les outils pour l’implémenter sont foisonnants, notamment en Python.</w:t>
      </w:r>
      <w:r w:rsidR="0055331B">
        <w:t xml:space="preserve"> </w:t>
      </w:r>
      <w:r w:rsidR="0042657B">
        <w:t>L</w:t>
      </w:r>
      <w:r w:rsidR="0055331B">
        <w:t>’explicabilité des résultats</w:t>
      </w:r>
      <w:r w:rsidR="00E44936">
        <w:t>, enjeu fort de la recherche, est moins importante pour certaines applications professionnelles.</w:t>
      </w:r>
    </w:p>
    <w:p w14:paraId="4BFF9111" w14:textId="27CAD791" w:rsidR="003222A8" w:rsidRDefault="007F5B7B" w:rsidP="00ED41F9">
      <w:r>
        <w:t>Nous avons vu le big data et l’apprentissage automatique sur des données non structurées, du texte en lang</w:t>
      </w:r>
      <w:r w:rsidR="00C16337">
        <w:t>ue</w:t>
      </w:r>
      <w:r>
        <w:t xml:space="preserve"> naturel</w:t>
      </w:r>
      <w:r w:rsidR="00C16337">
        <w:t>le</w:t>
      </w:r>
      <w:r>
        <w:t xml:space="preserve">, mais on peut également y intégrer des données plus structurées, comme des fichiers XML ou JSON, </w:t>
      </w:r>
      <w:r w:rsidR="00043905">
        <w:t xml:space="preserve">des tableurs, </w:t>
      </w:r>
      <w:r>
        <w:t>des bases de données, des fichiers de logs ou des codes sources de programme</w:t>
      </w:r>
      <w:r w:rsidR="00043905">
        <w:t xml:space="preserve"> dans un </w:t>
      </w:r>
      <w:proofErr w:type="spellStart"/>
      <w:r w:rsidR="00043905">
        <w:t>datalake</w:t>
      </w:r>
      <w:proofErr w:type="spellEnd"/>
      <w:r w:rsidR="003222A8">
        <w:rPr>
          <w:rStyle w:val="Appelnotedebasdep"/>
        </w:rPr>
        <w:footnoteReference w:id="3"/>
      </w:r>
      <w:r>
        <w:t>.</w:t>
      </w:r>
      <w:r w:rsidR="003222A8">
        <w:t xml:space="preserve"> Le traitement automatique de la langue naturelle devient </w:t>
      </w:r>
      <w:r w:rsidR="009046FD">
        <w:t xml:space="preserve">à la fois </w:t>
      </w:r>
      <w:r w:rsidR="003222A8">
        <w:t xml:space="preserve">un composant d’un ensemble logiciel </w:t>
      </w:r>
      <w:r w:rsidR="00E44936">
        <w:t xml:space="preserve">plus vaste </w:t>
      </w:r>
      <w:r w:rsidR="003222A8">
        <w:t>en vue de valoriser ces données</w:t>
      </w:r>
      <w:r w:rsidR="009046FD">
        <w:t>, mais les techniques du TAL peuvent également être transposé</w:t>
      </w:r>
      <w:r w:rsidR="00ED41F9">
        <w:t>es</w:t>
      </w:r>
      <w:r w:rsidR="009046FD">
        <w:t xml:space="preserve"> à des langages </w:t>
      </w:r>
      <w:r w:rsidR="00ED41F9">
        <w:t>moins</w:t>
      </w:r>
      <w:r w:rsidR="009046FD">
        <w:t xml:space="preserve"> naturels exprimés dans des fichiers journaux</w:t>
      </w:r>
      <w:r w:rsidR="00ED41F9">
        <w:t xml:space="preserve"> d’événements </w:t>
      </w:r>
      <w:r w:rsidR="009046FD">
        <w:t>ou des fichiers sources.</w:t>
      </w:r>
      <w:r w:rsidR="003222A8">
        <w:t xml:space="preserve"> Un</w:t>
      </w:r>
      <w:r w:rsidR="008246E3">
        <w:t xml:space="preserve"> exemple d’</w:t>
      </w:r>
      <w:r w:rsidR="003222A8">
        <w:t xml:space="preserve">application </w:t>
      </w:r>
      <w:r w:rsidR="00E44936">
        <w:t xml:space="preserve">est </w:t>
      </w:r>
      <w:r w:rsidR="003222A8">
        <w:t>l’autocomplétion </w:t>
      </w:r>
      <w:r w:rsidR="00E44936">
        <w:t>lors de</w:t>
      </w:r>
      <w:r w:rsidR="003222A8">
        <w:t xml:space="preserve"> l’écriture de code</w:t>
      </w:r>
      <w:r w:rsidR="00E44936">
        <w:t>.</w:t>
      </w:r>
      <w:r w:rsidR="003222A8">
        <w:t xml:space="preserve"> </w:t>
      </w:r>
      <w:r w:rsidR="00E44936">
        <w:t>L</w:t>
      </w:r>
      <w:r w:rsidR="003222A8">
        <w:t xml:space="preserve">’apprentissage automatique, sur un grand nombre de </w:t>
      </w:r>
      <w:r w:rsidR="005112D8">
        <w:t>fichiers sources</w:t>
      </w:r>
      <w:r w:rsidR="003222A8">
        <w:t>, permet ainsi d</w:t>
      </w:r>
      <w:r w:rsidR="005112D8">
        <w:t xml:space="preserve">’améliorer la qualité </w:t>
      </w:r>
      <w:r w:rsidR="003222A8">
        <w:t>de</w:t>
      </w:r>
      <w:r w:rsidR="005112D8">
        <w:t>s suggestions</w:t>
      </w:r>
      <w:r w:rsidR="003222A8">
        <w:t xml:space="preserve"> </w:t>
      </w:r>
      <w:r w:rsidR="005112D8">
        <w:t xml:space="preserve">proposées pour </w:t>
      </w:r>
      <w:r w:rsidR="003222A8">
        <w:t xml:space="preserve">compléter le code </w:t>
      </w:r>
      <w:r w:rsidR="005112D8">
        <w:t>en train d’être écrit</w:t>
      </w:r>
      <w:r w:rsidR="003222A8">
        <w:t xml:space="preserve">. Des plugins ou des logiciels </w:t>
      </w:r>
      <w:r w:rsidR="005112D8">
        <w:t xml:space="preserve">fondés sur ce principe existent déjà : </w:t>
      </w:r>
      <w:proofErr w:type="spellStart"/>
      <w:r w:rsidR="005112D8">
        <w:t>Codota</w:t>
      </w:r>
      <w:proofErr w:type="spellEnd"/>
      <w:r w:rsidR="005112D8">
        <w:t xml:space="preserve">, </w:t>
      </w:r>
      <w:r w:rsidR="003222A8">
        <w:t>Kite, IntelliSense</w:t>
      </w:r>
      <w:r w:rsidR="005112D8">
        <w:t xml:space="preserve"> </w:t>
      </w:r>
      <w:r w:rsidR="003222A8">
        <w:t xml:space="preserve">ou </w:t>
      </w:r>
      <w:proofErr w:type="spellStart"/>
      <w:r w:rsidR="003222A8">
        <w:t>TabNine</w:t>
      </w:r>
      <w:proofErr w:type="spellEnd"/>
      <w:r w:rsidR="005112D8">
        <w:rPr>
          <w:rStyle w:val="Appelnotedebasdep"/>
        </w:rPr>
        <w:footnoteReference w:id="4"/>
      </w:r>
      <w:r w:rsidR="005112D8">
        <w:t>.</w:t>
      </w:r>
    </w:p>
    <w:p w14:paraId="346B8371" w14:textId="2A06ABED" w:rsidR="005112D8" w:rsidRDefault="00F264E2" w:rsidP="005112D8">
      <w:pPr>
        <w:pStyle w:val="Titre3"/>
      </w:pPr>
      <w:r>
        <w:t xml:space="preserve">II.1.2 </w:t>
      </w:r>
      <w:r w:rsidR="005112D8">
        <w:t>App</w:t>
      </w:r>
      <w:r w:rsidR="00C146DA">
        <w:t>o</w:t>
      </w:r>
      <w:r w:rsidR="005112D8">
        <w:t>rt</w:t>
      </w:r>
      <w:r w:rsidR="00C146DA">
        <w:t>s</w:t>
      </w:r>
      <w:r w:rsidR="005112D8">
        <w:t xml:space="preserve"> de la linguistique : linguistique de corpus et connaissances générales</w:t>
      </w:r>
    </w:p>
    <w:p w14:paraId="76600C84" w14:textId="77777777" w:rsidR="00ED41F9" w:rsidRDefault="00034F69" w:rsidP="00ED41F9">
      <w:pPr>
        <w:spacing w:after="20"/>
      </w:pPr>
      <w:r>
        <w:t>Le master nous a énormément appris sur la linguistique de corpus</w:t>
      </w:r>
      <w:r w:rsidR="00D449F0">
        <w:t>, et, par ricochet, sur le mode de formation des connaissances. Les approches corpus-</w:t>
      </w:r>
      <w:proofErr w:type="spellStart"/>
      <w:r w:rsidR="00D449F0">
        <w:t>based</w:t>
      </w:r>
      <w:proofErr w:type="spellEnd"/>
      <w:r w:rsidR="00D449F0">
        <w:t xml:space="preserve"> et corpus-</w:t>
      </w:r>
      <w:proofErr w:type="spellStart"/>
      <w:r w:rsidR="00D449F0">
        <w:t>driven</w:t>
      </w:r>
      <w:proofErr w:type="spellEnd"/>
      <w:r w:rsidR="00D449F0">
        <w:t xml:space="preserve"> (Biber, 2012) reflètent la dualité antique entre déduction et induction : partir du raisonnement</w:t>
      </w:r>
      <w:r w:rsidR="008246E3">
        <w:t xml:space="preserve"> pour aboutir à une hypothèse</w:t>
      </w:r>
      <w:r w:rsidR="00D449F0">
        <w:t xml:space="preserve"> </w:t>
      </w:r>
      <w:r w:rsidR="00E44936">
        <w:t>puis</w:t>
      </w:r>
      <w:r w:rsidR="00D449F0">
        <w:t xml:space="preserve"> </w:t>
      </w:r>
      <w:r w:rsidR="008246E3">
        <w:t>la</w:t>
      </w:r>
      <w:r w:rsidR="00D449F0">
        <w:t xml:space="preserve"> confronter aux faits</w:t>
      </w:r>
      <w:r w:rsidR="008246E3">
        <w:t>,</w:t>
      </w:r>
      <w:r w:rsidR="00D449F0">
        <w:t xml:space="preserve"> ou</w:t>
      </w:r>
      <w:r w:rsidR="008246E3">
        <w:t>,</w:t>
      </w:r>
      <w:r w:rsidR="00D449F0">
        <w:t xml:space="preserve"> partir des faits pour raisonner dessus</w:t>
      </w:r>
      <w:r w:rsidR="008246E3">
        <w:t xml:space="preserve"> et aboutir à une hypothèse qui les transcendent</w:t>
      </w:r>
      <w:r w:rsidR="00D449F0">
        <w:t xml:space="preserve">. Quelque soit l’approche choisie, il est clair que la linguistique de corpus </w:t>
      </w:r>
      <w:r w:rsidR="008246E3">
        <w:t>est supérieure à l’exemple inventé</w:t>
      </w:r>
      <w:r w:rsidR="00E44936">
        <w:t xml:space="preserve"> intuitivement</w:t>
      </w:r>
      <w:r w:rsidR="008246E3">
        <w:t>, prisonnier du carcan subjectif du chercheur. La linguistique de corpus a néanmoins ses propres limites,</w:t>
      </w:r>
      <w:r w:rsidR="00E44936">
        <w:t xml:space="preserve"> car</w:t>
      </w:r>
      <w:r w:rsidR="008246E3">
        <w:t xml:space="preserve"> nul corpus ne peut refléter l’infini des possibles faits linguistiques, et la constitution du corpus est potentiellement porteuse de biais.</w:t>
      </w:r>
    </w:p>
    <w:p w14:paraId="3B27A065" w14:textId="31D6AD6E" w:rsidR="00E44936" w:rsidRDefault="00E44936" w:rsidP="00034F69">
      <w:r>
        <w:t>Plus globalement, nous avons beaucoup enrichi notre connaissance de la linguistique</w:t>
      </w:r>
      <w:r w:rsidR="0023281A">
        <w:t xml:space="preserve"> durant ces deux années, en explorant ses différentes branches et écoles, et </w:t>
      </w:r>
      <w:r w:rsidR="00C16337">
        <w:t>notre compréhension</w:t>
      </w:r>
      <w:r w:rsidR="0023281A">
        <w:t xml:space="preserve"> du français.</w:t>
      </w:r>
    </w:p>
    <w:p w14:paraId="1482E323" w14:textId="3CC3E7E6" w:rsidR="00C146DA" w:rsidRDefault="00C146DA" w:rsidP="0023281A">
      <w:pPr>
        <w:pStyle w:val="Titre3"/>
      </w:pPr>
      <w:r>
        <w:lastRenderedPageBreak/>
        <w:t xml:space="preserve">II.1.3 </w:t>
      </w:r>
      <w:r w:rsidR="0023281A">
        <w:t>A</w:t>
      </w:r>
      <w:r>
        <w:t>pports</w:t>
      </w:r>
      <w:r w:rsidR="0023281A">
        <w:t xml:space="preserve"> des autres domaines</w:t>
      </w:r>
      <w:r w:rsidR="00ED41F9">
        <w:t> : statistique, ergonomie et recherche</w:t>
      </w:r>
    </w:p>
    <w:p w14:paraId="75CBD292" w14:textId="48798959" w:rsidR="0023281A" w:rsidRDefault="0023281A" w:rsidP="0023281A">
      <w:r>
        <w:t xml:space="preserve">La statistique est </w:t>
      </w:r>
      <w:r w:rsidR="009E05D3">
        <w:t>l’</w:t>
      </w:r>
      <w:r>
        <w:t xml:space="preserve">outil central, à la fois pour quantifier </w:t>
      </w:r>
      <w:r w:rsidR="009E05D3">
        <w:t>l</w:t>
      </w:r>
      <w:r>
        <w:t>es données, et établir des corrélations entre elles. Nous avons observé, sans les utiliser par manque de temps, que de nombreuses bibliothèques Python et le langage R permettent de manipuler facilement données et statistiques</w:t>
      </w:r>
      <w:r w:rsidR="001369B7">
        <w:t xml:space="preserve">. On peut ainsi </w:t>
      </w:r>
      <w:r>
        <w:t>établir en quelques lignes la normalité de la distribution d’une variable</w:t>
      </w:r>
      <w:r w:rsidR="001369B7">
        <w:t>, par exemple</w:t>
      </w:r>
      <w:r>
        <w:t xml:space="preserve"> avec un </w:t>
      </w:r>
      <w:r w:rsidRPr="0023281A">
        <w:t>test de Shapiro</w:t>
      </w:r>
      <w:r>
        <w:t>-</w:t>
      </w:r>
      <w:proofErr w:type="spellStart"/>
      <w:r w:rsidRPr="0023281A">
        <w:t>Wilk</w:t>
      </w:r>
      <w:proofErr w:type="spellEnd"/>
      <w:r>
        <w:t xml:space="preserve">, </w:t>
      </w:r>
      <w:r w:rsidR="001369B7">
        <w:t>pour savoir si on doit utiliser des méthodes paramétriques ou non paramétriques. Ils proposent avec la même facilité des tests de corrélation ou d’analyse de variance.</w:t>
      </w:r>
    </w:p>
    <w:p w14:paraId="739DC92E" w14:textId="0BB67C5A" w:rsidR="009046FD" w:rsidRDefault="001369B7" w:rsidP="0023281A">
      <w:r>
        <w:t>Les séances d’ergonomie en mode projet nous ont permis de rapidement voir les différents critères utilisés pour évaluer les interfaces homme-machine</w:t>
      </w:r>
      <w:r w:rsidR="009046FD">
        <w:t>,</w:t>
      </w:r>
      <w:r>
        <w:t xml:space="preserve"> comme ceux de Bastien et Scapin (1993)</w:t>
      </w:r>
      <w:r w:rsidR="009046FD">
        <w:t>, et de concevoir rapidement quelques prototypes</w:t>
      </w:r>
      <w:r>
        <w:t>.</w:t>
      </w:r>
      <w:r w:rsidR="009046FD">
        <w:t xml:space="preserve"> J’avais déjà suivi un enseignement de la conception et l’évaluation d’IHM dans le cadre du cours d’Interaction Design à la </w:t>
      </w:r>
      <w:proofErr w:type="spellStart"/>
      <w:r w:rsidR="009046FD">
        <w:t>Danish</w:t>
      </w:r>
      <w:proofErr w:type="spellEnd"/>
      <w:r w:rsidR="009046FD">
        <w:t xml:space="preserve"> </w:t>
      </w:r>
      <w:proofErr w:type="spellStart"/>
      <w:r w:rsidR="009046FD">
        <w:t>Technical</w:t>
      </w:r>
      <w:proofErr w:type="spellEnd"/>
      <w:r w:rsidR="009046FD">
        <w:t xml:space="preserve"> </w:t>
      </w:r>
      <w:proofErr w:type="spellStart"/>
      <w:r w:rsidR="009046FD">
        <w:t>University</w:t>
      </w:r>
      <w:proofErr w:type="spellEnd"/>
      <w:r w:rsidR="009046FD">
        <w:t xml:space="preserve"> (DTU), lors de mon Erasmus en derni</w:t>
      </w:r>
      <w:r w:rsidR="009E05D3">
        <w:t>è</w:t>
      </w:r>
      <w:r w:rsidR="009046FD">
        <w:t>r</w:t>
      </w:r>
      <w:r w:rsidR="009E05D3">
        <w:t>e</w:t>
      </w:r>
      <w:r w:rsidR="009046FD">
        <w:t xml:space="preserve"> année d’école d’ingénieur.</w:t>
      </w:r>
      <w:r w:rsidR="00ED41F9">
        <w:t xml:space="preserve"> </w:t>
      </w:r>
      <w:r w:rsidR="009046FD">
        <w:t xml:space="preserve">Un autre de mes cours danois, sur les méthodologies de la conception des logiciels, fut celui qui se rapprocha le plus d’une initiation à la recherche. </w:t>
      </w:r>
      <w:r w:rsidR="006778CB">
        <w:t xml:space="preserve">Je n’ai par la suite jamais reçu d’autres formations, y compris lors de ma tentative de thèse. Le master LITL est à la fois la formation la plus dure que j’ai suivie, même si cela tient en partie à des contraintes externes, et celle qui m’aura le plus permis </w:t>
      </w:r>
      <w:r w:rsidR="00AF4228">
        <w:t xml:space="preserve">d’apprendre </w:t>
      </w:r>
      <w:r w:rsidR="009E05D3">
        <w:t xml:space="preserve">à faire </w:t>
      </w:r>
      <w:r w:rsidR="00AF4228">
        <w:t xml:space="preserve">et </w:t>
      </w:r>
      <w:r w:rsidR="00745554">
        <w:t xml:space="preserve">de </w:t>
      </w:r>
      <w:r w:rsidR="006778CB">
        <w:t>faire de la recherche, avec les limitations qui étaient les miennes. En cela, je lui en sais fort gré</w:t>
      </w:r>
      <w:r w:rsidR="007F2A49">
        <w:t>.</w:t>
      </w:r>
    </w:p>
    <w:p w14:paraId="236CD430" w14:textId="559F8B45" w:rsidR="00BE07DE" w:rsidRDefault="00BE07DE" w:rsidP="00635D0E">
      <w:pPr>
        <w:pStyle w:val="Titre2"/>
      </w:pPr>
      <w:r>
        <w:t>II.</w:t>
      </w:r>
      <w:r w:rsidR="00AF4228">
        <w:t>2</w:t>
      </w:r>
      <w:r>
        <w:t xml:space="preserve"> Positionnement du master dans mon parcours professionnel</w:t>
      </w:r>
    </w:p>
    <w:p w14:paraId="2737BB58" w14:textId="3AEE330D" w:rsidR="00307D59" w:rsidRDefault="0042657B" w:rsidP="005E52B4">
      <w:r>
        <w:t>Ma position est particulière, car je suis déjà inséré dans le monde professionnel</w:t>
      </w:r>
      <w:r w:rsidR="00307D59">
        <w:t xml:space="preserve"> toulousain où je souhaite rester pour le moment</w:t>
      </w:r>
      <w:r>
        <w:t xml:space="preserve">. Mon profil est paradoxal pour </w:t>
      </w:r>
      <w:r w:rsidR="00AF4228">
        <w:t>un</w:t>
      </w:r>
      <w:r>
        <w:t xml:space="preserve"> recruteur : je bénéficie de </w:t>
      </w:r>
      <w:r w:rsidR="00AF4228">
        <w:t xml:space="preserve">plus de </w:t>
      </w:r>
      <w:r>
        <w:t>huit d’expérience en informatique mais j’ai un profil junior en TAL.</w:t>
      </w:r>
      <w:r w:rsidR="00307D59">
        <w:t xml:space="preserve"> Cela peut expliquer le silence d’Airbus et d’</w:t>
      </w:r>
      <w:proofErr w:type="spellStart"/>
      <w:r w:rsidR="00307D59">
        <w:t>Apsys</w:t>
      </w:r>
      <w:proofErr w:type="spellEnd"/>
      <w:r w:rsidR="00307D59">
        <w:t xml:space="preserve"> concernant mes candidatures sur des postes de terminologue pour la première et d’ingénieur linguiste pour la seconde.</w:t>
      </w:r>
      <w:r w:rsidR="005E52B4">
        <w:t xml:space="preserve"> </w:t>
      </w:r>
      <w:r w:rsidR="00AF4228">
        <w:t xml:space="preserve">Après réflexions et études </w:t>
      </w:r>
      <w:r>
        <w:t xml:space="preserve">des </w:t>
      </w:r>
      <w:r w:rsidR="00AF4228">
        <w:t xml:space="preserve">salaires, des </w:t>
      </w:r>
      <w:r w:rsidR="00307D59">
        <w:t xml:space="preserve">types </w:t>
      </w:r>
      <w:r w:rsidR="00AF4228">
        <w:t>d’emploi</w:t>
      </w:r>
      <w:r w:rsidR="00307D59">
        <w:t>s offerts</w:t>
      </w:r>
      <w:r w:rsidR="00AF4228">
        <w:t xml:space="preserve"> et des bilans des sociétés</w:t>
      </w:r>
      <w:r>
        <w:t xml:space="preserve"> </w:t>
      </w:r>
      <w:proofErr w:type="spellStart"/>
      <w:r>
        <w:t>Inbenta</w:t>
      </w:r>
      <w:proofErr w:type="spellEnd"/>
      <w:r w:rsidR="00307D59">
        <w:t xml:space="preserve"> France</w:t>
      </w:r>
      <w:r>
        <w:t xml:space="preserve">, </w:t>
      </w:r>
      <w:r w:rsidR="00AF4228">
        <w:t xml:space="preserve">Synapse Développement, </w:t>
      </w:r>
      <w:proofErr w:type="spellStart"/>
      <w:r w:rsidR="00AF4228">
        <w:t>Hubware</w:t>
      </w:r>
      <w:proofErr w:type="spellEnd"/>
      <w:r w:rsidR="00AF4228">
        <w:t>, Coup de puce</w:t>
      </w:r>
      <w:r w:rsidR="00307D59">
        <w:t xml:space="preserve"> E</w:t>
      </w:r>
      <w:r w:rsidR="00AF4228">
        <w:t>xpansion</w:t>
      </w:r>
      <w:r w:rsidR="0054307C">
        <w:t>,</w:t>
      </w:r>
      <w:r w:rsidR="00AF4228">
        <w:t xml:space="preserve"> </w:t>
      </w:r>
      <w:proofErr w:type="spellStart"/>
      <w:r w:rsidR="00AF4228">
        <w:t>Safety</w:t>
      </w:r>
      <w:proofErr w:type="spellEnd"/>
      <w:r w:rsidR="00AF4228">
        <w:t xml:space="preserve"> Data-CFH</w:t>
      </w:r>
      <w:r w:rsidR="00AF4228">
        <w:rPr>
          <w:rStyle w:val="Appelnotedebasdep"/>
        </w:rPr>
        <w:footnoteReference w:id="5"/>
      </w:r>
      <w:r w:rsidR="0054307C">
        <w:t xml:space="preserve"> et</w:t>
      </w:r>
      <w:r w:rsidR="00AF4228" w:rsidRPr="00AF4228">
        <w:t xml:space="preserve"> </w:t>
      </w:r>
      <w:proofErr w:type="spellStart"/>
      <w:r w:rsidR="00AF4228" w:rsidRPr="00AF4228">
        <w:t>OneLight</w:t>
      </w:r>
      <w:proofErr w:type="spellEnd"/>
      <w:r w:rsidR="00AF4228" w:rsidRPr="00AF4228">
        <w:t>-studio</w:t>
      </w:r>
      <w:r w:rsidR="00AF4228">
        <w:rPr>
          <w:rStyle w:val="Appelnotedebasdep"/>
        </w:rPr>
        <w:footnoteReference w:id="6"/>
      </w:r>
      <w:r w:rsidR="00AF4228">
        <w:t xml:space="preserve"> j’ai décidé de ne pas y candidater pour l’instant.</w:t>
      </w:r>
      <w:r w:rsidR="00307D59">
        <w:t xml:space="preserve"> Depuis plus de trois ans en mission </w:t>
      </w:r>
      <w:r w:rsidR="005E52B4">
        <w:t xml:space="preserve">à </w:t>
      </w:r>
      <w:r w:rsidR="00307D59">
        <w:t xml:space="preserve">la direction des systèmes d’information de Thales Alenia </w:t>
      </w:r>
      <w:proofErr w:type="spellStart"/>
      <w:r w:rsidR="00307D59">
        <w:t>Space</w:t>
      </w:r>
      <w:proofErr w:type="spellEnd"/>
      <w:r w:rsidR="005E52B4">
        <w:t xml:space="preserve"> (TAS)</w:t>
      </w:r>
      <w:r w:rsidR="00307D59">
        <w:t xml:space="preserve">, j’apprécie de travailler </w:t>
      </w:r>
      <w:r w:rsidR="00FF2C6A">
        <w:t xml:space="preserve">pour </w:t>
      </w:r>
      <w:r w:rsidR="00307D59">
        <w:t>un grand groupe et</w:t>
      </w:r>
      <w:r w:rsidR="007403AC">
        <w:t xml:space="preserve"> </w:t>
      </w:r>
      <w:r w:rsidR="00307D59">
        <w:t>la responsabilité de gérer deux applications.</w:t>
      </w:r>
    </w:p>
    <w:p w14:paraId="01D65222" w14:textId="538B37DF" w:rsidR="005E52B4" w:rsidRDefault="007403AC" w:rsidP="005E52B4">
      <w:r>
        <w:t>Je compte intégrer les apports du master au sein de ma gestion des systèmes d’information à TAS. Un premier projet de détection dans les fichiers journaux des événements est prévu. Il s’agira d’y repérer des incidents remontés par les serveurs et signalés par un message ayant une structure fixe mais un contenu variable. Une association sera faite entre le type d’incident et le projet mentionné dedans pour alerter les bons</w:t>
      </w:r>
      <w:r w:rsidR="005E52B4">
        <w:t xml:space="preserve"> intervenants</w:t>
      </w:r>
      <w:r>
        <w:t xml:space="preserve"> au plus vite. Un autre projet, dont les spécifications sont moins avancées, est l’analyse des commentaires dans les fichiers de </w:t>
      </w:r>
      <w:r w:rsidRPr="007403AC">
        <w:rPr>
          <w:i/>
          <w:iCs/>
        </w:rPr>
        <w:t>commit</w:t>
      </w:r>
      <w:r w:rsidR="00FF2C6A">
        <w:t>, émis lorsqu’un utilisateur valide ses modifications sur un travail collaboratif centralisé.</w:t>
      </w:r>
      <w:r>
        <w:t xml:space="preserve"> Il s’agira d’associer </w:t>
      </w:r>
      <w:r w:rsidR="005E52B4">
        <w:t>s</w:t>
      </w:r>
      <w:r>
        <w:t>es modifications avec les tâches qui lui sont confiées.</w:t>
      </w:r>
      <w:r w:rsidR="005E52B4">
        <w:t xml:space="preserve"> </w:t>
      </w:r>
      <w:r w:rsidR="00FF2C6A">
        <w:t xml:space="preserve">En plus de mes actions </w:t>
      </w:r>
      <w:r w:rsidR="005E52B4">
        <w:t xml:space="preserve">chez </w:t>
      </w:r>
      <w:r w:rsidR="00FF2C6A">
        <w:t xml:space="preserve">TAS, </w:t>
      </w:r>
      <w:r w:rsidR="005E52B4">
        <w:t xml:space="preserve">je </w:t>
      </w:r>
      <w:r w:rsidR="00FF2C6A">
        <w:t xml:space="preserve">sensibilise mes collègues </w:t>
      </w:r>
      <w:r w:rsidR="005E52B4">
        <w:t xml:space="preserve">de </w:t>
      </w:r>
      <w:proofErr w:type="spellStart"/>
      <w:r w:rsidR="005E52B4">
        <w:t>Scalian</w:t>
      </w:r>
      <w:proofErr w:type="spellEnd"/>
      <w:r w:rsidR="005E52B4">
        <w:t xml:space="preserve"> aux possibilités et enjeux, notamment éthique, du TAL. Notre centre de compétence sur le big data</w:t>
      </w:r>
      <w:r w:rsidR="007F29D3">
        <w:t xml:space="preserve"> </w:t>
      </w:r>
      <w:r w:rsidR="005E52B4">
        <w:t xml:space="preserve">ne dispose pas d’un </w:t>
      </w:r>
      <w:proofErr w:type="spellStart"/>
      <w:r w:rsidR="005E52B4">
        <w:t>taliste</w:t>
      </w:r>
      <w:proofErr w:type="spellEnd"/>
      <w:r w:rsidR="005E52B4">
        <w:t xml:space="preserve"> et j’essaye d’organiser des synergies entre nos différentes compétences.</w:t>
      </w:r>
    </w:p>
    <w:p w14:paraId="4CBAB565" w14:textId="4F61333E" w:rsidR="007F29D3" w:rsidRDefault="007F29D3" w:rsidP="007F29D3">
      <w:r>
        <w:t>Il est difficile de savoir sur quoi portera ma prochaine mission et quand elle commencera. Il est sûr néanmoins que les compétences acquises au cours de ce master renforce</w:t>
      </w:r>
      <w:r w:rsidR="00C432FE">
        <w:t>ro</w:t>
      </w:r>
      <w:r>
        <w:t>nt ma polyvalence</w:t>
      </w:r>
      <w:r w:rsidR="00C432FE">
        <w:t>, en s’ajoutant à la gestion des SI, la modélisation et la programmation</w:t>
      </w:r>
      <w:r>
        <w:t>. J’espère néanmoins conserver le niveau de responsabilité qui est le mien, voir l’accroître, et/ou intégrer un grand</w:t>
      </w:r>
      <w:r w:rsidR="00B57561">
        <w:t xml:space="preserve"> industriel </w:t>
      </w:r>
      <w:r w:rsidR="00C432FE">
        <w:t xml:space="preserve">dans les cinq années à venir. La piste </w:t>
      </w:r>
      <w:r w:rsidR="00B975CD">
        <w:t xml:space="preserve">de </w:t>
      </w:r>
      <w:r w:rsidR="00C432FE">
        <w:t>la gestion documentaire, où DSI et TAL se rejoignent, est à explorer.</w:t>
      </w:r>
    </w:p>
    <w:p w14:paraId="234E76D0" w14:textId="2C442AC5" w:rsidR="002060B7" w:rsidRPr="000A4B36" w:rsidRDefault="002060B7" w:rsidP="00E758FD">
      <w:pPr>
        <w:pStyle w:val="Titre1"/>
        <w:pageBreakBefore/>
      </w:pPr>
      <w:r w:rsidRPr="000A4B36">
        <w:lastRenderedPageBreak/>
        <w:t>Références</w:t>
      </w:r>
    </w:p>
    <w:p w14:paraId="10B8BB70" w14:textId="55CFB904" w:rsidR="001369B7" w:rsidRPr="001369B7" w:rsidRDefault="001369B7" w:rsidP="00BE0022">
      <w:pPr>
        <w:ind w:firstLine="0"/>
        <w:jc w:val="left"/>
        <w:rPr>
          <w:lang w:val="en-US"/>
        </w:rPr>
      </w:pPr>
      <w:r w:rsidRPr="001369B7">
        <w:rPr>
          <w:lang w:val="en-US"/>
        </w:rPr>
        <w:t xml:space="preserve">Bastien, J. C., &amp; </w:t>
      </w:r>
      <w:proofErr w:type="spellStart"/>
      <w:r w:rsidRPr="001369B7">
        <w:rPr>
          <w:lang w:val="en-US"/>
        </w:rPr>
        <w:t>Scapin</w:t>
      </w:r>
      <w:proofErr w:type="spellEnd"/>
      <w:r w:rsidRPr="001369B7">
        <w:rPr>
          <w:lang w:val="en-US"/>
        </w:rPr>
        <w:t xml:space="preserve">, D. L. (1993). </w:t>
      </w:r>
      <w:r w:rsidRPr="001369B7">
        <w:rPr>
          <w:i/>
          <w:iCs/>
          <w:lang w:val="en-US"/>
        </w:rPr>
        <w:t xml:space="preserve">Ergonomic criteria for the evaluation of </w:t>
      </w:r>
      <w:proofErr w:type="gramStart"/>
      <w:r w:rsidRPr="001369B7">
        <w:rPr>
          <w:i/>
          <w:iCs/>
          <w:lang w:val="en-US"/>
        </w:rPr>
        <w:t>human-computer</w:t>
      </w:r>
      <w:proofErr w:type="gramEnd"/>
      <w:r w:rsidRPr="001369B7">
        <w:rPr>
          <w:i/>
          <w:iCs/>
          <w:lang w:val="en-US"/>
        </w:rPr>
        <w:t xml:space="preserve"> </w:t>
      </w:r>
      <w:r w:rsidRPr="001369B7">
        <w:rPr>
          <w:i/>
          <w:iCs/>
          <w:lang w:val="en-US"/>
        </w:rPr>
        <w:br/>
        <w:t xml:space="preserve">        interfaces</w:t>
      </w:r>
      <w:r>
        <w:rPr>
          <w:lang w:val="en-US"/>
        </w:rPr>
        <w:t xml:space="preserve">. </w:t>
      </w:r>
      <w:proofErr w:type="spellStart"/>
      <w:r w:rsidRPr="001369B7">
        <w:rPr>
          <w:lang w:val="en-US"/>
        </w:rPr>
        <w:t>Thèse</w:t>
      </w:r>
      <w:proofErr w:type="spellEnd"/>
      <w:r w:rsidRPr="001369B7">
        <w:rPr>
          <w:lang w:val="en-US"/>
        </w:rPr>
        <w:t xml:space="preserve"> de </w:t>
      </w:r>
      <w:proofErr w:type="spellStart"/>
      <w:r w:rsidRPr="001369B7">
        <w:rPr>
          <w:lang w:val="en-US"/>
        </w:rPr>
        <w:t>doctorat</w:t>
      </w:r>
      <w:proofErr w:type="spellEnd"/>
      <w:r w:rsidRPr="001369B7">
        <w:rPr>
          <w:lang w:val="en-US"/>
        </w:rPr>
        <w:t xml:space="preserve">, </w:t>
      </w:r>
      <w:r>
        <w:rPr>
          <w:lang w:val="en-US"/>
        </w:rPr>
        <w:t>INRIA</w:t>
      </w:r>
      <w:r w:rsidRPr="001369B7">
        <w:rPr>
          <w:lang w:val="en-US"/>
        </w:rPr>
        <w:t>.</w:t>
      </w:r>
    </w:p>
    <w:p w14:paraId="7AB3E34C" w14:textId="0A94FCF3" w:rsidR="00D449F0" w:rsidRDefault="00D449F0" w:rsidP="00BE0022">
      <w:pPr>
        <w:ind w:firstLine="0"/>
        <w:jc w:val="left"/>
        <w:rPr>
          <w:lang w:val="en-US"/>
        </w:rPr>
      </w:pPr>
      <w:proofErr w:type="spellStart"/>
      <w:r w:rsidRPr="00A57FC4">
        <w:rPr>
          <w:lang w:val="en-US"/>
        </w:rPr>
        <w:t>Biber</w:t>
      </w:r>
      <w:proofErr w:type="spellEnd"/>
      <w:r w:rsidRPr="00A57FC4">
        <w:rPr>
          <w:lang w:val="en-US"/>
        </w:rPr>
        <w:t xml:space="preserve">, D. E. (2012). </w:t>
      </w:r>
      <w:r w:rsidRPr="00D449F0">
        <w:rPr>
          <w:lang w:val="en-US"/>
        </w:rPr>
        <w:t xml:space="preserve">Corpus-Based and Corpus-driven Analyses of Language Variation and Use. </w:t>
      </w:r>
      <w:r>
        <w:rPr>
          <w:lang w:val="en-US"/>
        </w:rPr>
        <w:t>Dans</w:t>
      </w:r>
      <w:r w:rsidRPr="00D449F0">
        <w:rPr>
          <w:lang w:val="en-US"/>
        </w:rPr>
        <w:t xml:space="preserve"> </w:t>
      </w:r>
      <w:r w:rsidR="00BE0022">
        <w:rPr>
          <w:lang w:val="en-US"/>
        </w:rPr>
        <w:br/>
        <w:t xml:space="preserve">        </w:t>
      </w:r>
      <w:r w:rsidRPr="00D449F0">
        <w:rPr>
          <w:i/>
          <w:iCs/>
          <w:lang w:val="en-US"/>
        </w:rPr>
        <w:t>The Oxford Handbook of Linguistic Analysis</w:t>
      </w:r>
      <w:r>
        <w:rPr>
          <w:lang w:val="en-US"/>
        </w:rPr>
        <w:t xml:space="preserve">. Oxford : </w:t>
      </w:r>
      <w:r w:rsidRPr="00D449F0">
        <w:rPr>
          <w:lang w:val="en-US"/>
        </w:rPr>
        <w:t>Oxford University Press.</w:t>
      </w:r>
    </w:p>
    <w:p w14:paraId="45AB43FB" w14:textId="7B162F6D" w:rsidR="002F6215" w:rsidRPr="00A57FC4" w:rsidRDefault="002F6215" w:rsidP="002F6215">
      <w:pPr>
        <w:ind w:firstLine="0"/>
        <w:jc w:val="left"/>
      </w:pPr>
      <w:r w:rsidRPr="002F6215">
        <w:t xml:space="preserve">Huyghe, R. (2018). Généralité sémantique et portage propositionnel: le cas de fait. </w:t>
      </w:r>
      <w:r w:rsidRPr="00A57FC4">
        <w:rPr>
          <w:i/>
          <w:iCs/>
        </w:rPr>
        <w:t xml:space="preserve">Langue française, </w:t>
      </w:r>
      <w:r w:rsidRPr="00A57FC4">
        <w:rPr>
          <w:i/>
          <w:iCs/>
        </w:rPr>
        <w:br/>
        <w:t xml:space="preserve">        2018(2)</w:t>
      </w:r>
      <w:r w:rsidRPr="00A57FC4">
        <w:t>, 35-50.</w:t>
      </w:r>
    </w:p>
    <w:p w14:paraId="6B586D94" w14:textId="15461375" w:rsidR="009A2161" w:rsidRPr="00A57FC4" w:rsidRDefault="002F6215" w:rsidP="009A2161">
      <w:pPr>
        <w:ind w:firstLine="0"/>
        <w:jc w:val="left"/>
      </w:pPr>
      <w:r w:rsidRPr="002F6215">
        <w:t xml:space="preserve">Legallois, D. (2008). Sur quelques caractéristiques des noms sous-spécifiés. </w:t>
      </w:r>
      <w:proofErr w:type="spellStart"/>
      <w:r w:rsidRPr="00A57FC4">
        <w:rPr>
          <w:i/>
          <w:iCs/>
        </w:rPr>
        <w:t>Scolia</w:t>
      </w:r>
      <w:proofErr w:type="spellEnd"/>
      <w:r w:rsidRPr="00A57FC4">
        <w:rPr>
          <w:i/>
          <w:iCs/>
        </w:rPr>
        <w:t>, 23</w:t>
      </w:r>
      <w:r w:rsidRPr="00A57FC4">
        <w:t>, 109-127</w:t>
      </w:r>
      <w:r w:rsidR="009A2161" w:rsidRPr="00A57FC4">
        <w:t>.</w:t>
      </w:r>
    </w:p>
    <w:p w14:paraId="79A81CA2" w14:textId="1993DB36" w:rsidR="00955C01" w:rsidRPr="00955C01" w:rsidRDefault="00955C01" w:rsidP="009A2161">
      <w:pPr>
        <w:ind w:firstLine="0"/>
        <w:jc w:val="left"/>
        <w:rPr>
          <w:lang w:val="en-US"/>
        </w:rPr>
      </w:pPr>
      <w:r w:rsidRPr="00955C01">
        <w:t xml:space="preserve">Merrill, E. et </w:t>
      </w:r>
      <w:proofErr w:type="spellStart"/>
      <w:r w:rsidRPr="00955C01">
        <w:t>Knipps</w:t>
      </w:r>
      <w:proofErr w:type="spellEnd"/>
      <w:r w:rsidRPr="00955C01">
        <w:t xml:space="preserve">, A. (2014). </w:t>
      </w:r>
      <w:r w:rsidRPr="00955C01">
        <w:rPr>
          <w:lang w:val="en-US"/>
        </w:rPr>
        <w:t xml:space="preserve">What's in a </w:t>
      </w:r>
      <w:proofErr w:type="gramStart"/>
      <w:r w:rsidRPr="00955C01">
        <w:rPr>
          <w:lang w:val="en-US"/>
        </w:rPr>
        <w:t>Title?.</w:t>
      </w:r>
      <w:proofErr w:type="gramEnd"/>
      <w:r w:rsidRPr="00955C01">
        <w:rPr>
          <w:lang w:val="en-US"/>
        </w:rPr>
        <w:t xml:space="preserve"> The Journal of Wildlife Management, 78(5), 761-</w:t>
      </w:r>
      <w:r>
        <w:rPr>
          <w:lang w:val="en-US"/>
        </w:rPr>
        <w:br/>
      </w:r>
      <w:r w:rsidRPr="00955C01">
        <w:rPr>
          <w:i/>
          <w:iCs/>
          <w:lang w:val="en-US"/>
        </w:rPr>
        <w:t xml:space="preserve">        </w:t>
      </w:r>
      <w:r w:rsidRPr="00955C01">
        <w:rPr>
          <w:lang w:val="en-US"/>
        </w:rPr>
        <w:t>762.</w:t>
      </w:r>
    </w:p>
    <w:p w14:paraId="5BB90AD5" w14:textId="23832827" w:rsidR="009A2161" w:rsidRPr="00A57FC4" w:rsidRDefault="009A2161" w:rsidP="009A2161">
      <w:pPr>
        <w:ind w:firstLine="0"/>
        <w:jc w:val="left"/>
      </w:pPr>
      <w:r w:rsidRPr="009A2161">
        <w:t>Naka</w:t>
      </w:r>
      <w:bookmarkStart w:id="0" w:name="_GoBack"/>
      <w:bookmarkEnd w:id="0"/>
      <w:r w:rsidRPr="009A2161">
        <w:t>mura, T. (2017). Extensions transitives de constructions spécificationnelles.</w:t>
      </w:r>
      <w:r w:rsidRPr="009A2161">
        <w:rPr>
          <w:i/>
          <w:iCs/>
        </w:rPr>
        <w:t xml:space="preserve"> </w:t>
      </w:r>
      <w:r w:rsidRPr="00A57FC4">
        <w:rPr>
          <w:i/>
          <w:iCs/>
        </w:rPr>
        <w:t xml:space="preserve">Langue française, </w:t>
      </w:r>
      <w:r w:rsidRPr="00A57FC4">
        <w:rPr>
          <w:i/>
          <w:iCs/>
        </w:rPr>
        <w:br/>
        <w:t xml:space="preserve">        2017(2)</w:t>
      </w:r>
      <w:r w:rsidRPr="00A57FC4">
        <w:t>, 69-84.</w:t>
      </w:r>
    </w:p>
    <w:p w14:paraId="3A2067BB" w14:textId="47EB66D6" w:rsidR="00BE0022" w:rsidRPr="00A57FC4" w:rsidRDefault="00BE0022" w:rsidP="00BE0022">
      <w:pPr>
        <w:ind w:firstLine="0"/>
        <w:jc w:val="left"/>
      </w:pPr>
      <w:r w:rsidRPr="00BE0022">
        <w:t xml:space="preserve">Riegel, M. (2006). Grammaire des constructions attributives : avec ou sans copule. Dans </w:t>
      </w:r>
      <w:r>
        <w:br/>
      </w:r>
      <w:r w:rsidRPr="00BE0022">
        <w:rPr>
          <w:i/>
          <w:iCs/>
        </w:rPr>
        <w:t xml:space="preserve">        Construction, acquisition et communication : Études linguistiques de discours contemporains</w:t>
      </w:r>
      <w:r w:rsidRPr="00BE0022">
        <w:t xml:space="preserve">, </w:t>
      </w:r>
      <w:r>
        <w:br/>
      </w:r>
      <w:r w:rsidRPr="00BE0022">
        <w:t xml:space="preserve">        </w:t>
      </w:r>
      <w:proofErr w:type="spellStart"/>
      <w:r w:rsidRPr="00BE0022">
        <w:t>Engwall</w:t>
      </w:r>
      <w:proofErr w:type="spellEnd"/>
      <w:r w:rsidRPr="00BE0022">
        <w:t>, G. (éd.).</w:t>
      </w:r>
      <w:r>
        <w:t xml:space="preserve"> </w:t>
      </w:r>
      <w:r w:rsidRPr="00A57FC4">
        <w:t xml:space="preserve">Stockholm : Université de Stockholm (Acta </w:t>
      </w:r>
      <w:proofErr w:type="spellStart"/>
      <w:r w:rsidRPr="00A57FC4">
        <w:t>Universitatis</w:t>
      </w:r>
      <w:proofErr w:type="spellEnd"/>
      <w:r w:rsidRPr="00A57FC4">
        <w:t xml:space="preserve"> </w:t>
      </w:r>
      <w:proofErr w:type="spellStart"/>
      <w:r w:rsidRPr="00A57FC4">
        <w:t>Stockholmiensis</w:t>
      </w:r>
      <w:proofErr w:type="spellEnd"/>
      <w:r w:rsidRPr="00A57FC4">
        <w:t xml:space="preserve"> </w:t>
      </w:r>
      <w:r w:rsidRPr="00A57FC4">
        <w:br/>
        <w:t xml:space="preserve">        Romanica </w:t>
      </w:r>
      <w:proofErr w:type="spellStart"/>
      <w:r w:rsidRPr="00A57FC4">
        <w:t>Stockholmiensia</w:t>
      </w:r>
      <w:proofErr w:type="spellEnd"/>
      <w:r w:rsidRPr="00A57FC4">
        <w:t> 23).</w:t>
      </w:r>
    </w:p>
    <w:p w14:paraId="2CD4F9F5" w14:textId="1307C8EC" w:rsidR="009A2161" w:rsidRPr="009A2161" w:rsidRDefault="009A2161" w:rsidP="009A2161">
      <w:pPr>
        <w:ind w:firstLine="0"/>
        <w:jc w:val="left"/>
      </w:pPr>
      <w:r w:rsidRPr="009A2161">
        <w:t>Roze, C., Charnois, T., Legallois, D., Ferrari, S. et Salles, M. (2014). Identification des noms sous-</w:t>
      </w:r>
      <w:r>
        <w:br/>
      </w:r>
      <w:r w:rsidRPr="00A57FC4">
        <w:t xml:space="preserve">        </w:t>
      </w:r>
      <w:r w:rsidRPr="009A2161">
        <w:t>spécifiés,</w:t>
      </w:r>
      <w:r>
        <w:t xml:space="preserve"> </w:t>
      </w:r>
      <w:r w:rsidRPr="009A2161">
        <w:t xml:space="preserve">signaux de l’organisation discursive. Dans </w:t>
      </w:r>
      <w:proofErr w:type="spellStart"/>
      <w:r w:rsidRPr="009A2161">
        <w:rPr>
          <w:i/>
          <w:iCs/>
        </w:rPr>
        <w:t>Proceedings</w:t>
      </w:r>
      <w:proofErr w:type="spellEnd"/>
      <w:r w:rsidRPr="009A2161">
        <w:rPr>
          <w:i/>
          <w:iCs/>
        </w:rPr>
        <w:t xml:space="preserve"> of TALN 2014, 1</w:t>
      </w:r>
      <w:r w:rsidRPr="009A2161">
        <w:t>, 377-388</w:t>
      </w:r>
    </w:p>
    <w:p w14:paraId="5310A77D" w14:textId="59A97C95" w:rsidR="005C6D6C" w:rsidRPr="005C6D6C" w:rsidRDefault="005C6D6C" w:rsidP="00BE0022">
      <w:pPr>
        <w:ind w:firstLine="0"/>
        <w:jc w:val="left"/>
        <w:rPr>
          <w:lang w:val="en-US"/>
        </w:rPr>
      </w:pPr>
      <w:r w:rsidRPr="005C6D6C">
        <w:rPr>
          <w:lang w:val="en-US"/>
        </w:rPr>
        <w:t xml:space="preserve">Schmid, H.-J. (2000). </w:t>
      </w:r>
      <w:r w:rsidRPr="005C6D6C">
        <w:rPr>
          <w:i/>
          <w:iCs/>
          <w:lang w:val="en-US"/>
        </w:rPr>
        <w:t>English Abstract Nouns as Conceptual Shells. From Corpus to Cognition</w:t>
      </w:r>
      <w:r w:rsidRPr="005C6D6C">
        <w:rPr>
          <w:lang w:val="en-US"/>
        </w:rPr>
        <w:t>. Berlin</w:t>
      </w:r>
      <w:r>
        <w:rPr>
          <w:lang w:val="en-US"/>
        </w:rPr>
        <w:t xml:space="preserve"> </w:t>
      </w:r>
      <w:r w:rsidRPr="005C6D6C">
        <w:rPr>
          <w:lang w:val="en-US"/>
        </w:rPr>
        <w:t>:</w:t>
      </w:r>
      <w:r>
        <w:rPr>
          <w:lang w:val="en-US"/>
        </w:rPr>
        <w:t xml:space="preserve"> </w:t>
      </w:r>
      <w:r w:rsidR="00BE0022">
        <w:rPr>
          <w:lang w:val="en-US"/>
        </w:rPr>
        <w:br/>
        <w:t xml:space="preserve">        </w:t>
      </w:r>
      <w:r w:rsidRPr="005C6D6C">
        <w:rPr>
          <w:lang w:val="en-US"/>
        </w:rPr>
        <w:t>Mouton de Gruyter (Topics in English Linguistics 34).</w:t>
      </w:r>
    </w:p>
    <w:p w14:paraId="43E6076F" w14:textId="3D2E2402" w:rsidR="005C6D6C" w:rsidRDefault="005C6D6C" w:rsidP="00BE0022">
      <w:pPr>
        <w:ind w:firstLine="0"/>
        <w:jc w:val="left"/>
        <w:rPr>
          <w:lang w:val="en-US"/>
        </w:rPr>
      </w:pPr>
      <w:r w:rsidRPr="005C6D6C">
        <w:rPr>
          <w:lang w:val="en-US"/>
        </w:rPr>
        <w:t xml:space="preserve">Schmid, H. J. (2018). Shell nouns in English-a personal roundup. </w:t>
      </w:r>
      <w:proofErr w:type="spellStart"/>
      <w:r w:rsidRPr="005C6D6C">
        <w:rPr>
          <w:i/>
          <w:iCs/>
          <w:lang w:val="en-US"/>
        </w:rPr>
        <w:t>Caplletra</w:t>
      </w:r>
      <w:proofErr w:type="spellEnd"/>
      <w:r w:rsidRPr="005C6D6C">
        <w:rPr>
          <w:i/>
          <w:iCs/>
          <w:lang w:val="en-US"/>
        </w:rPr>
        <w:t xml:space="preserve">. </w:t>
      </w:r>
      <w:proofErr w:type="spellStart"/>
      <w:r w:rsidRPr="005C6D6C">
        <w:rPr>
          <w:i/>
          <w:iCs/>
          <w:lang w:val="en-US"/>
        </w:rPr>
        <w:t>Revista</w:t>
      </w:r>
      <w:proofErr w:type="spellEnd"/>
      <w:r w:rsidRPr="005C6D6C">
        <w:rPr>
          <w:i/>
          <w:iCs/>
          <w:lang w:val="en-US"/>
        </w:rPr>
        <w:t xml:space="preserve"> </w:t>
      </w:r>
      <w:proofErr w:type="spellStart"/>
      <w:r w:rsidRPr="005C6D6C">
        <w:rPr>
          <w:i/>
          <w:iCs/>
          <w:lang w:val="en-US"/>
        </w:rPr>
        <w:t>Internacional</w:t>
      </w:r>
      <w:proofErr w:type="spellEnd"/>
      <w:r w:rsidRPr="005C6D6C">
        <w:rPr>
          <w:i/>
          <w:iCs/>
          <w:lang w:val="en-US"/>
        </w:rPr>
        <w:t xml:space="preserve"> de </w:t>
      </w:r>
      <w:r w:rsidR="00BE0022">
        <w:rPr>
          <w:i/>
          <w:iCs/>
          <w:lang w:val="en-US"/>
        </w:rPr>
        <w:br/>
      </w:r>
      <w:r w:rsidR="00BE0022">
        <w:rPr>
          <w:lang w:val="en-US"/>
        </w:rPr>
        <w:t xml:space="preserve">        </w:t>
      </w:r>
      <w:proofErr w:type="spellStart"/>
      <w:r w:rsidRPr="005C6D6C">
        <w:rPr>
          <w:i/>
          <w:iCs/>
          <w:lang w:val="en-US"/>
        </w:rPr>
        <w:t>Filologia</w:t>
      </w:r>
      <w:proofErr w:type="spellEnd"/>
      <w:r w:rsidRPr="005C6D6C">
        <w:rPr>
          <w:i/>
          <w:iCs/>
          <w:lang w:val="en-US"/>
        </w:rPr>
        <w:t>, (64)</w:t>
      </w:r>
      <w:r w:rsidRPr="005C6D6C">
        <w:rPr>
          <w:lang w:val="en-US"/>
        </w:rPr>
        <w:t>, 109-128.</w:t>
      </w:r>
    </w:p>
    <w:p w14:paraId="30906A5A" w14:textId="568FB30A" w:rsidR="00034F69" w:rsidRPr="00034F69" w:rsidRDefault="00034F69" w:rsidP="00BE0022">
      <w:pPr>
        <w:ind w:firstLine="0"/>
        <w:jc w:val="left"/>
        <w:rPr>
          <w:lang w:val="en-US"/>
        </w:rPr>
      </w:pPr>
      <w:r w:rsidRPr="00034F69">
        <w:rPr>
          <w:lang w:val="en-US"/>
        </w:rPr>
        <w:t>Zins, C</w:t>
      </w:r>
      <w:r>
        <w:rPr>
          <w:lang w:val="en-US"/>
        </w:rPr>
        <w:t>. (</w:t>
      </w:r>
      <w:r w:rsidRPr="00034F69">
        <w:rPr>
          <w:lang w:val="en-US"/>
        </w:rPr>
        <w:t>2007</w:t>
      </w:r>
      <w:r>
        <w:rPr>
          <w:lang w:val="en-US"/>
        </w:rPr>
        <w:t>)</w:t>
      </w:r>
      <w:r w:rsidRPr="00034F69">
        <w:rPr>
          <w:lang w:val="en-US"/>
        </w:rPr>
        <w:t xml:space="preserve">. Conceptual Approaches for Defining Data, Information, and Knowledge. </w:t>
      </w:r>
      <w:r w:rsidRPr="00034F69">
        <w:rPr>
          <w:i/>
          <w:iCs/>
          <w:lang w:val="en-US"/>
        </w:rPr>
        <w:t xml:space="preserve">Journal of the </w:t>
      </w:r>
      <w:r w:rsidR="00BE0022">
        <w:rPr>
          <w:i/>
          <w:iCs/>
          <w:lang w:val="en-US"/>
        </w:rPr>
        <w:br/>
      </w:r>
      <w:r w:rsidR="00BE0022">
        <w:rPr>
          <w:lang w:val="en-US"/>
        </w:rPr>
        <w:t xml:space="preserve">        </w:t>
      </w:r>
      <w:r w:rsidRPr="00034F69">
        <w:rPr>
          <w:i/>
          <w:iCs/>
          <w:lang w:val="en-US"/>
        </w:rPr>
        <w:t>American Society for Information Science and Technology</w:t>
      </w:r>
      <w:r>
        <w:rPr>
          <w:i/>
          <w:iCs/>
          <w:lang w:val="en-US"/>
        </w:rPr>
        <w:t>,</w:t>
      </w:r>
      <w:r w:rsidRPr="00034F69">
        <w:rPr>
          <w:i/>
          <w:iCs/>
          <w:lang w:val="en-US"/>
        </w:rPr>
        <w:t xml:space="preserve"> 58 (4)</w:t>
      </w:r>
      <w:r w:rsidRPr="00034F69">
        <w:rPr>
          <w:lang w:val="en-US"/>
        </w:rPr>
        <w:t>, 479-493.</w:t>
      </w:r>
    </w:p>
    <w:sectPr w:rsidR="00034F69" w:rsidRPr="00034F6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9E8B" w14:textId="77777777" w:rsidR="00302118" w:rsidRDefault="00302118" w:rsidP="00635D0E">
      <w:r>
        <w:separator/>
      </w:r>
    </w:p>
  </w:endnote>
  <w:endnote w:type="continuationSeparator" w:id="0">
    <w:p w14:paraId="6A805C67" w14:textId="77777777" w:rsidR="00302118" w:rsidRDefault="00302118" w:rsidP="0063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2AD3C" w14:textId="13CFB187" w:rsidR="00AF4228" w:rsidRDefault="00AF4228" w:rsidP="00970897">
    <w:pPr>
      <w:pStyle w:val="Pieddepage"/>
      <w:pBdr>
        <w:top w:val="single" w:sz="4" w:space="1" w:color="ED7D31" w:themeColor="accent2"/>
      </w:pBdr>
    </w:pPr>
    <w:r>
      <w:t>Damien Gouteux</w:t>
    </w:r>
    <w:r>
      <w:tab/>
      <w:t>Master 2 LITL</w:t>
    </w:r>
    <w:r>
      <w:tab/>
    </w:r>
    <w:r>
      <w:fldChar w:fldCharType="begin"/>
    </w:r>
    <w:r>
      <w:instrText xml:space="preserve"> PAGE   \* MERGEFORMAT </w:instrText>
    </w:r>
    <w:r>
      <w:fldChar w:fldCharType="separate"/>
    </w:r>
    <w:r>
      <w:rPr>
        <w:noProof/>
      </w:rPr>
      <w:t>1</w:t>
    </w:r>
    <w:r>
      <w:fldChar w:fldCharType="end"/>
    </w:r>
    <w:r>
      <w:t xml:space="preserve"> / </w:t>
    </w:r>
    <w:r w:rsidR="00302118">
      <w:fldChar w:fldCharType="begin"/>
    </w:r>
    <w:r w:rsidR="00302118">
      <w:instrText xml:space="preserve"> NUMPAGES   \* MERGEFORMAT </w:instrText>
    </w:r>
    <w:r w:rsidR="00302118">
      <w:fldChar w:fldCharType="separate"/>
    </w:r>
    <w:r>
      <w:rPr>
        <w:noProof/>
      </w:rPr>
      <w:t>5</w:t>
    </w:r>
    <w:r w:rsidR="0030211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D2937" w14:textId="77777777" w:rsidR="00302118" w:rsidRDefault="00302118" w:rsidP="00635D0E">
      <w:r>
        <w:separator/>
      </w:r>
    </w:p>
  </w:footnote>
  <w:footnote w:type="continuationSeparator" w:id="0">
    <w:p w14:paraId="01C21428" w14:textId="77777777" w:rsidR="00302118" w:rsidRDefault="00302118" w:rsidP="00635D0E">
      <w:r>
        <w:continuationSeparator/>
      </w:r>
    </w:p>
  </w:footnote>
  <w:footnote w:id="1">
    <w:p w14:paraId="50477B59" w14:textId="5013A871" w:rsidR="00AF4228" w:rsidRPr="005112D8" w:rsidRDefault="00AF4228" w:rsidP="005112D8">
      <w:pPr>
        <w:pStyle w:val="Notedebasdepage"/>
        <w:ind w:firstLine="0"/>
        <w:jc w:val="left"/>
      </w:pPr>
      <w:r>
        <w:rPr>
          <w:rStyle w:val="Appelnotedebasdep"/>
        </w:rPr>
        <w:footnoteRef/>
      </w:r>
      <w:r w:rsidRPr="006E5BE7">
        <w:t xml:space="preserve"> PYPL </w:t>
      </w:r>
      <w:hyperlink r:id="rId1" w:history="1">
        <w:r w:rsidRPr="006E5BE7">
          <w:rPr>
            <w:rStyle w:val="Lienhypertexte"/>
          </w:rPr>
          <w:t>https://pypl.github.io/PYPL.html</w:t>
        </w:r>
      </w:hyperlink>
      <w:r w:rsidRPr="006E5BE7">
        <w:t xml:space="preserve">,TIOBE </w:t>
      </w:r>
      <w:hyperlink r:id="rId2" w:history="1">
        <w:r w:rsidRPr="006E5BE7">
          <w:rPr>
            <w:rStyle w:val="Lienhypertexte"/>
          </w:rPr>
          <w:t>https://www.tiobe.com/tiobe-index/</w:t>
        </w:r>
      </w:hyperlink>
      <w:r w:rsidRPr="006E5BE7">
        <w:t>.Au d</w:t>
      </w:r>
      <w:r>
        <w:t>é</w:t>
      </w:r>
      <w:r w:rsidRPr="006E5BE7">
        <w:t>triment de Perl/Ruby.</w:t>
      </w:r>
    </w:p>
  </w:footnote>
  <w:footnote w:id="2">
    <w:p w14:paraId="5A71594B" w14:textId="0A198BE8" w:rsidR="00AF4228" w:rsidRPr="005112D8" w:rsidRDefault="00AF4228" w:rsidP="005112D8">
      <w:pPr>
        <w:pStyle w:val="Notedebasdepage"/>
        <w:ind w:firstLine="0"/>
        <w:jc w:val="left"/>
      </w:pPr>
      <w:r>
        <w:rPr>
          <w:rStyle w:val="Appelnotedebasdep"/>
        </w:rPr>
        <w:footnoteRef/>
      </w:r>
      <w:r w:rsidRPr="005112D8">
        <w:t xml:space="preserve"> </w:t>
      </w:r>
      <w:hyperlink r:id="rId3" w:history="1">
        <w:r w:rsidRPr="005112D8">
          <w:rPr>
            <w:rStyle w:val="Lienhypertexte"/>
          </w:rPr>
          <w:t>https://en.wikipedia.org/wiki/DIKW_pyramid</w:t>
        </w:r>
      </w:hyperlink>
      <w:r w:rsidRPr="005112D8">
        <w:t xml:space="preserve"> </w:t>
      </w:r>
    </w:p>
  </w:footnote>
  <w:footnote w:id="3">
    <w:p w14:paraId="4CB8FA83" w14:textId="377AE1FE" w:rsidR="00AF4228" w:rsidRDefault="00AF4228" w:rsidP="005112D8">
      <w:pPr>
        <w:pStyle w:val="Notedebasdepage"/>
        <w:ind w:firstLine="0"/>
        <w:jc w:val="left"/>
      </w:pPr>
      <w:r>
        <w:rPr>
          <w:rStyle w:val="Appelnotedebasdep"/>
        </w:rPr>
        <w:footnoteRef/>
      </w:r>
      <w:r>
        <w:t xml:space="preserve"> </w:t>
      </w:r>
      <w:hyperlink r:id="rId4" w:history="1">
        <w:r w:rsidRPr="00313AE8">
          <w:rPr>
            <w:rStyle w:val="Lienhypertexte"/>
          </w:rPr>
          <w:t>https://fr.talend.com/resources/what-is-data-lake/</w:t>
        </w:r>
      </w:hyperlink>
      <w:r>
        <w:t xml:space="preserve"> </w:t>
      </w:r>
    </w:p>
  </w:footnote>
  <w:footnote w:id="4">
    <w:p w14:paraId="7326B835" w14:textId="1BD46A57" w:rsidR="00AF4228" w:rsidRDefault="00AF4228" w:rsidP="005112D8">
      <w:pPr>
        <w:pStyle w:val="Notedebasdepage"/>
        <w:ind w:firstLine="0"/>
        <w:jc w:val="left"/>
      </w:pPr>
      <w:r>
        <w:rPr>
          <w:rStyle w:val="Appelnotedebasdep"/>
        </w:rPr>
        <w:footnoteRef/>
      </w:r>
      <w:r>
        <w:t xml:space="preserve"> </w:t>
      </w:r>
      <w:hyperlink r:id="rId5" w:history="1">
        <w:r w:rsidRPr="00313AE8">
          <w:rPr>
            <w:rStyle w:val="Lienhypertexte"/>
          </w:rPr>
          <w:t>https://www.codota.com/</w:t>
        </w:r>
      </w:hyperlink>
      <w:r>
        <w:t xml:space="preserve">, </w:t>
      </w:r>
      <w:hyperlink r:id="rId6" w:history="1">
        <w:r w:rsidRPr="00313AE8">
          <w:rPr>
            <w:rStyle w:val="Lienhypertexte"/>
          </w:rPr>
          <w:t>https://kite.com/</w:t>
        </w:r>
      </w:hyperlink>
      <w:r>
        <w:t xml:space="preserve">, </w:t>
      </w:r>
      <w:hyperlink r:id="rId7" w:history="1">
        <w:r w:rsidRPr="00313AE8">
          <w:rPr>
            <w:rStyle w:val="Lienhypertexte"/>
          </w:rPr>
          <w:t>https://tabnine.com/</w:t>
        </w:r>
      </w:hyperlink>
      <w:r>
        <w:t xml:space="preserve"> </w:t>
      </w:r>
    </w:p>
  </w:footnote>
  <w:footnote w:id="5">
    <w:p w14:paraId="08C3C8D9" w14:textId="3211E39F" w:rsidR="00AF4228" w:rsidRDefault="00AF4228" w:rsidP="00FF2C6A">
      <w:pPr>
        <w:pStyle w:val="Notedebasdepage"/>
        <w:ind w:firstLine="0"/>
        <w:jc w:val="left"/>
      </w:pPr>
      <w:r>
        <w:rPr>
          <w:rStyle w:val="Appelnotedebasdep"/>
        </w:rPr>
        <w:footnoteRef/>
      </w:r>
      <w:r w:rsidR="00663AD8">
        <w:t xml:space="preserve"> </w:t>
      </w:r>
      <w:r>
        <w:t>Placée en liquidation judiciaire le 2</w:t>
      </w:r>
      <w:r w:rsidR="00663AD8">
        <w:t>/5/</w:t>
      </w:r>
      <w:r>
        <w:t>19</w:t>
      </w:r>
      <w:r w:rsidR="00663AD8">
        <w:t xml:space="preserve"> : </w:t>
      </w:r>
      <w:hyperlink r:id="rId8" w:history="1">
        <w:r w:rsidR="00663AD8" w:rsidRPr="00834503">
          <w:rPr>
            <w:rStyle w:val="Lienhypertexte"/>
          </w:rPr>
          <w:t>https://www.societe.com/societe/safety-data-cfh-434738944.html</w:t>
        </w:r>
      </w:hyperlink>
    </w:p>
  </w:footnote>
  <w:footnote w:id="6">
    <w:p w14:paraId="784C7337" w14:textId="743649A6" w:rsidR="00AF4228" w:rsidRPr="00AF4228" w:rsidRDefault="00AF4228" w:rsidP="00FF2C6A">
      <w:pPr>
        <w:pStyle w:val="Notedebasdepage"/>
        <w:ind w:firstLine="0"/>
        <w:jc w:val="left"/>
      </w:pPr>
      <w:r>
        <w:rPr>
          <w:rStyle w:val="Appelnotedebasdep"/>
        </w:rPr>
        <w:footnoteRef/>
      </w:r>
      <w:r w:rsidR="00663AD8">
        <w:t xml:space="preserve"> </w:t>
      </w:r>
      <w:proofErr w:type="spellStart"/>
      <w:r w:rsidRPr="00AF4228">
        <w:t>OneLight</w:t>
      </w:r>
      <w:proofErr w:type="spellEnd"/>
      <w:r w:rsidRPr="00AF4228">
        <w:t xml:space="preserve">-Studio </w:t>
      </w:r>
      <w:r>
        <w:t xml:space="preserve">est issue de </w:t>
      </w:r>
      <w:proofErr w:type="spellStart"/>
      <w:r>
        <w:t>Prometil</w:t>
      </w:r>
      <w:proofErr w:type="spellEnd"/>
      <w:r>
        <w:t xml:space="preserve"> et </w:t>
      </w:r>
      <w:r w:rsidR="00FF2C6A">
        <w:t xml:space="preserve">a </w:t>
      </w:r>
      <w:r w:rsidRPr="00AF4228">
        <w:t>repris SEMIOS</w:t>
      </w:r>
      <w:r>
        <w:t xml:space="preserve">. </w:t>
      </w:r>
      <w:r w:rsidR="00FF2C6A">
        <w:t xml:space="preserve">L’autre partie de </w:t>
      </w:r>
      <w:proofErr w:type="spellStart"/>
      <w:r w:rsidRPr="00AF4228">
        <w:t>Prometil</w:t>
      </w:r>
      <w:proofErr w:type="spellEnd"/>
      <w:r>
        <w:t xml:space="preserve"> a été rachetée par LGM.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AF5AD" w14:textId="6601151C" w:rsidR="00AF4228" w:rsidRDefault="00AF4228" w:rsidP="00970897">
    <w:pPr>
      <w:pStyle w:val="En-tte"/>
      <w:jc w:val="center"/>
    </w:pPr>
    <w:r>
      <w:t>Entretien de fin d’année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0B"/>
    <w:rsid w:val="00031E47"/>
    <w:rsid w:val="00034F69"/>
    <w:rsid w:val="000416FA"/>
    <w:rsid w:val="00043905"/>
    <w:rsid w:val="000A4B36"/>
    <w:rsid w:val="000C1052"/>
    <w:rsid w:val="000D57B6"/>
    <w:rsid w:val="00133D6A"/>
    <w:rsid w:val="001369B7"/>
    <w:rsid w:val="00160AF1"/>
    <w:rsid w:val="00186969"/>
    <w:rsid w:val="001878A3"/>
    <w:rsid w:val="001D3C26"/>
    <w:rsid w:val="001E6450"/>
    <w:rsid w:val="00204F74"/>
    <w:rsid w:val="002060B7"/>
    <w:rsid w:val="0023195F"/>
    <w:rsid w:val="0023281A"/>
    <w:rsid w:val="002912BB"/>
    <w:rsid w:val="00293CAD"/>
    <w:rsid w:val="002C51D2"/>
    <w:rsid w:val="002F6215"/>
    <w:rsid w:val="00302118"/>
    <w:rsid w:val="00307D59"/>
    <w:rsid w:val="003222A8"/>
    <w:rsid w:val="0042657B"/>
    <w:rsid w:val="00465479"/>
    <w:rsid w:val="004F3D19"/>
    <w:rsid w:val="005112D8"/>
    <w:rsid w:val="00515E04"/>
    <w:rsid w:val="0054307C"/>
    <w:rsid w:val="0055331B"/>
    <w:rsid w:val="00570792"/>
    <w:rsid w:val="00582E9B"/>
    <w:rsid w:val="005B35DD"/>
    <w:rsid w:val="005C6D6C"/>
    <w:rsid w:val="005E52B4"/>
    <w:rsid w:val="00620F57"/>
    <w:rsid w:val="00635D0E"/>
    <w:rsid w:val="00663AD8"/>
    <w:rsid w:val="006778CB"/>
    <w:rsid w:val="006969A3"/>
    <w:rsid w:val="006C1C2A"/>
    <w:rsid w:val="006E5BE7"/>
    <w:rsid w:val="007403AC"/>
    <w:rsid w:val="00745554"/>
    <w:rsid w:val="007E7080"/>
    <w:rsid w:val="007F1A5C"/>
    <w:rsid w:val="007F29D3"/>
    <w:rsid w:val="007F2A49"/>
    <w:rsid w:val="007F5B7B"/>
    <w:rsid w:val="008246E3"/>
    <w:rsid w:val="00840FAC"/>
    <w:rsid w:val="008E00ED"/>
    <w:rsid w:val="008F6973"/>
    <w:rsid w:val="009046FD"/>
    <w:rsid w:val="00910141"/>
    <w:rsid w:val="00934F4C"/>
    <w:rsid w:val="00950EA1"/>
    <w:rsid w:val="0095390B"/>
    <w:rsid w:val="00955C01"/>
    <w:rsid w:val="00970897"/>
    <w:rsid w:val="00983FBB"/>
    <w:rsid w:val="009A0B16"/>
    <w:rsid w:val="009A2161"/>
    <w:rsid w:val="009A357C"/>
    <w:rsid w:val="009E05D3"/>
    <w:rsid w:val="00A00942"/>
    <w:rsid w:val="00A067D3"/>
    <w:rsid w:val="00A40BC1"/>
    <w:rsid w:val="00A57FC4"/>
    <w:rsid w:val="00AC174C"/>
    <w:rsid w:val="00AC5CA5"/>
    <w:rsid w:val="00AF4228"/>
    <w:rsid w:val="00B27A79"/>
    <w:rsid w:val="00B57561"/>
    <w:rsid w:val="00B6444B"/>
    <w:rsid w:val="00B70842"/>
    <w:rsid w:val="00B975CD"/>
    <w:rsid w:val="00BA7C75"/>
    <w:rsid w:val="00BC764C"/>
    <w:rsid w:val="00BE0022"/>
    <w:rsid w:val="00BE07DE"/>
    <w:rsid w:val="00C00CEF"/>
    <w:rsid w:val="00C039D6"/>
    <w:rsid w:val="00C146DA"/>
    <w:rsid w:val="00C16337"/>
    <w:rsid w:val="00C27F5E"/>
    <w:rsid w:val="00C432FE"/>
    <w:rsid w:val="00C51D47"/>
    <w:rsid w:val="00CD7B70"/>
    <w:rsid w:val="00CF7498"/>
    <w:rsid w:val="00D449F0"/>
    <w:rsid w:val="00D731AA"/>
    <w:rsid w:val="00DA77B0"/>
    <w:rsid w:val="00DD51A8"/>
    <w:rsid w:val="00E36FE3"/>
    <w:rsid w:val="00E44936"/>
    <w:rsid w:val="00E51F7F"/>
    <w:rsid w:val="00E71469"/>
    <w:rsid w:val="00E758FD"/>
    <w:rsid w:val="00E91780"/>
    <w:rsid w:val="00EA31C5"/>
    <w:rsid w:val="00ED2F17"/>
    <w:rsid w:val="00ED41F9"/>
    <w:rsid w:val="00F264E2"/>
    <w:rsid w:val="00F326B9"/>
    <w:rsid w:val="00F34109"/>
    <w:rsid w:val="00F67B3F"/>
    <w:rsid w:val="00F73D2E"/>
    <w:rsid w:val="00FA6513"/>
    <w:rsid w:val="00FB3804"/>
    <w:rsid w:val="00FD7D7C"/>
    <w:rsid w:val="00FF2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B2F7"/>
  <w15:chartTrackingRefBased/>
  <w15:docId w15:val="{16563E9E-6B34-4951-95EB-C7BDFEA3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5D0E"/>
    <w:pPr>
      <w:ind w:firstLine="709"/>
      <w:jc w:val="both"/>
    </w:pPr>
  </w:style>
  <w:style w:type="paragraph" w:styleId="Titre1">
    <w:name w:val="heading 1"/>
    <w:basedOn w:val="Normal"/>
    <w:next w:val="Normal"/>
    <w:link w:val="Titre1Car"/>
    <w:uiPriority w:val="9"/>
    <w:qFormat/>
    <w:rsid w:val="00465479"/>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5479"/>
    <w:pPr>
      <w:keepNext/>
      <w:keepLines/>
      <w:spacing w:before="40" w:after="0"/>
      <w:ind w:firstLine="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034F69"/>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22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5390B"/>
    <w:pPr>
      <w:tabs>
        <w:tab w:val="center" w:pos="4536"/>
        <w:tab w:val="right" w:pos="9072"/>
      </w:tabs>
      <w:spacing w:after="0" w:line="240" w:lineRule="auto"/>
    </w:pPr>
  </w:style>
  <w:style w:type="character" w:customStyle="1" w:styleId="En-tteCar">
    <w:name w:val="En-tête Car"/>
    <w:basedOn w:val="Policepardfaut"/>
    <w:link w:val="En-tte"/>
    <w:uiPriority w:val="99"/>
    <w:rsid w:val="0095390B"/>
  </w:style>
  <w:style w:type="paragraph" w:styleId="Pieddepage">
    <w:name w:val="footer"/>
    <w:basedOn w:val="Normal"/>
    <w:link w:val="PieddepageCar"/>
    <w:uiPriority w:val="99"/>
    <w:unhideWhenUsed/>
    <w:rsid w:val="009539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90B"/>
  </w:style>
  <w:style w:type="paragraph" w:styleId="Paragraphedeliste">
    <w:name w:val="List Paragraph"/>
    <w:basedOn w:val="Normal"/>
    <w:uiPriority w:val="34"/>
    <w:qFormat/>
    <w:rsid w:val="0095390B"/>
    <w:pPr>
      <w:ind w:left="720"/>
      <w:contextualSpacing/>
    </w:pPr>
  </w:style>
  <w:style w:type="paragraph" w:styleId="Titre">
    <w:name w:val="Title"/>
    <w:basedOn w:val="Normal"/>
    <w:next w:val="Normal"/>
    <w:link w:val="TitreCar"/>
    <w:uiPriority w:val="10"/>
    <w:qFormat/>
    <w:rsid w:val="0095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9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6547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65479"/>
    <w:rPr>
      <w:rFonts w:asciiTheme="majorHAnsi" w:eastAsiaTheme="majorEastAsia" w:hAnsiTheme="majorHAnsi" w:cstheme="majorBidi"/>
      <w:color w:val="C45911" w:themeColor="accent2" w:themeShade="BF"/>
      <w:sz w:val="26"/>
      <w:szCs w:val="26"/>
    </w:rPr>
  </w:style>
  <w:style w:type="paragraph" w:styleId="Notedebasdepage">
    <w:name w:val="footnote text"/>
    <w:basedOn w:val="Normal"/>
    <w:link w:val="NotedebasdepageCar"/>
    <w:uiPriority w:val="99"/>
    <w:unhideWhenUsed/>
    <w:rsid w:val="00E91780"/>
    <w:pPr>
      <w:spacing w:after="0" w:line="240" w:lineRule="auto"/>
    </w:pPr>
    <w:rPr>
      <w:sz w:val="20"/>
      <w:szCs w:val="20"/>
    </w:rPr>
  </w:style>
  <w:style w:type="character" w:customStyle="1" w:styleId="NotedebasdepageCar">
    <w:name w:val="Note de bas de page Car"/>
    <w:basedOn w:val="Policepardfaut"/>
    <w:link w:val="Notedebasdepage"/>
    <w:uiPriority w:val="99"/>
    <w:rsid w:val="00E91780"/>
    <w:rPr>
      <w:sz w:val="20"/>
      <w:szCs w:val="20"/>
    </w:rPr>
  </w:style>
  <w:style w:type="character" w:styleId="Appelnotedebasdep">
    <w:name w:val="footnote reference"/>
    <w:basedOn w:val="Policepardfaut"/>
    <w:uiPriority w:val="99"/>
    <w:semiHidden/>
    <w:unhideWhenUsed/>
    <w:rsid w:val="00E91780"/>
    <w:rPr>
      <w:vertAlign w:val="superscript"/>
    </w:rPr>
  </w:style>
  <w:style w:type="character" w:customStyle="1" w:styleId="Titre3Car">
    <w:name w:val="Titre 3 Car"/>
    <w:basedOn w:val="Policepardfaut"/>
    <w:link w:val="Titre3"/>
    <w:uiPriority w:val="9"/>
    <w:rsid w:val="00034F6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034F69"/>
    <w:rPr>
      <w:color w:val="0563C1" w:themeColor="hyperlink"/>
      <w:u w:val="single"/>
    </w:rPr>
  </w:style>
  <w:style w:type="character" w:styleId="Mentionnonrsolue">
    <w:name w:val="Unresolved Mention"/>
    <w:basedOn w:val="Policepardfaut"/>
    <w:uiPriority w:val="99"/>
    <w:semiHidden/>
    <w:unhideWhenUsed/>
    <w:rsid w:val="00034F69"/>
    <w:rPr>
      <w:color w:val="605E5C"/>
      <w:shd w:val="clear" w:color="auto" w:fill="E1DFDD"/>
    </w:rPr>
  </w:style>
  <w:style w:type="character" w:customStyle="1" w:styleId="Titre4Car">
    <w:name w:val="Titre 4 Car"/>
    <w:basedOn w:val="Policepardfaut"/>
    <w:link w:val="Titre4"/>
    <w:uiPriority w:val="9"/>
    <w:rsid w:val="003222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5474">
      <w:bodyDiv w:val="1"/>
      <w:marLeft w:val="0"/>
      <w:marRight w:val="0"/>
      <w:marTop w:val="0"/>
      <w:marBottom w:val="0"/>
      <w:divBdr>
        <w:top w:val="none" w:sz="0" w:space="0" w:color="auto"/>
        <w:left w:val="none" w:sz="0" w:space="0" w:color="auto"/>
        <w:bottom w:val="none" w:sz="0" w:space="0" w:color="auto"/>
        <w:right w:val="none" w:sz="0" w:space="0" w:color="auto"/>
      </w:divBdr>
    </w:div>
    <w:div w:id="388382792">
      <w:bodyDiv w:val="1"/>
      <w:marLeft w:val="0"/>
      <w:marRight w:val="0"/>
      <w:marTop w:val="0"/>
      <w:marBottom w:val="0"/>
      <w:divBdr>
        <w:top w:val="none" w:sz="0" w:space="0" w:color="auto"/>
        <w:left w:val="none" w:sz="0" w:space="0" w:color="auto"/>
        <w:bottom w:val="none" w:sz="0" w:space="0" w:color="auto"/>
        <w:right w:val="none" w:sz="0" w:space="0" w:color="auto"/>
      </w:divBdr>
      <w:divsChild>
        <w:div w:id="62727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ociete.com/societe/safety-data-cfh-434738944.html" TargetMode="External"/><Relationship Id="rId3" Type="http://schemas.openxmlformats.org/officeDocument/2006/relationships/hyperlink" Target="https://en.wikipedia.org/wiki/DIKW_pyramid" TargetMode="External"/><Relationship Id="rId7" Type="http://schemas.openxmlformats.org/officeDocument/2006/relationships/hyperlink" Target="https://tabnine.com/" TargetMode="External"/><Relationship Id="rId2" Type="http://schemas.openxmlformats.org/officeDocument/2006/relationships/hyperlink" Target="https://www.tiobe.com/tiobe-index/" TargetMode="External"/><Relationship Id="rId1" Type="http://schemas.openxmlformats.org/officeDocument/2006/relationships/hyperlink" Target="https://pypl.github.io/PYPL.html" TargetMode="External"/><Relationship Id="rId6" Type="http://schemas.openxmlformats.org/officeDocument/2006/relationships/hyperlink" Target="https://kite.com/" TargetMode="External"/><Relationship Id="rId5" Type="http://schemas.openxmlformats.org/officeDocument/2006/relationships/hyperlink" Target="https://www.codota.com/" TargetMode="External"/><Relationship Id="rId4" Type="http://schemas.openxmlformats.org/officeDocument/2006/relationships/hyperlink" Target="https://fr.talend.com/resources/what-is-data-lak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3A36-953B-40F4-AB75-5C0772EB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5</Pages>
  <Words>2688</Words>
  <Characters>14789</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68</cp:revision>
  <cp:lastPrinted>2019-09-25T00:35:00Z</cp:lastPrinted>
  <dcterms:created xsi:type="dcterms:W3CDTF">2019-09-21T12:09:00Z</dcterms:created>
  <dcterms:modified xsi:type="dcterms:W3CDTF">2019-09-25T00:36:00Z</dcterms:modified>
</cp:coreProperties>
</file>