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5324B"/>
          <w:sz w:val="48"/>
        </w:rPr>
        <w:t>FitFuel Subscription Renewal Incident</w:t>
      </w:r>
    </w:p>
    <w:p>
      <w:pPr>
        <w:jc w:val="center"/>
      </w:pPr>
      <w:r>
        <w:rPr>
          <w:i/>
          <w:color w:val="505F6E"/>
          <w:sz w:val="20"/>
        </w:rPr>
        <w:t>Root Cause Analysis, Technical Recovery Plan, Executive Communication, and Optimization Recommendations</w:t>
      </w:r>
    </w:p>
    <w:p>
      <w:pPr>
        <w:pStyle w:val="Subtitle"/>
      </w:pPr>
      <w:r>
        <w:t>Prepared from the supplied FitFuel case dossier | Working incident analysis</w:t>
      </w:r>
    </w:p>
    <w:p>
      <w:pPr>
        <w:pStyle w:val="Heading1"/>
      </w:pPr>
      <w:r>
        <w:t>Executive Summary</w:t>
      </w:r>
    </w:p>
    <w:p>
      <w:pPr>
        <w:spacing w:after="100"/>
      </w:pPr>
      <w:r>
        <w:t>FitFuel’s renewal authorization decline is concentrated in Stripe-routed transactions, not across all acquirers. In the supplied weekly table, Stripe performance fell sharply in the week of Dec 2, while PayU remained broadly stable. The dossier identifies the primary cause as Stripe’s Enhanced Issuer Network (EIN) rollout and stricter recurring-payment data requirements that FitFuel’s requests did not satisfy: the merchant-initiated transaction (MIT) indicator and stored-credential data were missing. A second, Brazil-specific factor is Banco do Brasil’s requirement for 3DS2 on certain MITs above BRL 100. The evidence does not support blaming Marco’s Nov 29 deployment for the authorization collapse; however, the UUID change did break internal reconciliation and delayed detection.</w:t>
      </w:r>
    </w:p>
    <w:p>
      <w:pPr>
        <w:spacing w:after="100"/>
      </w:pPr>
      <w:r>
        <w:t>Recommended response: immediately correct and validate recurring-payment fields with Yuno and Stripe; implement a compliant, issuer-aware authentication path for affected Brazil transactions; then run a controlled rollout and monitor approval rate, decline codes, and reconciliation. Do not shift all Stripe traffic to PayU without a controlled, country- and segment-level test.</w:t>
      </w:r>
    </w:p>
    <w:p>
      <w:pPr>
        <w:pStyle w:val="Heading1"/>
      </w:pPr>
      <w:r>
        <w:t>1. Root Cause Analysis (RCA)</w:t>
      </w:r>
    </w:p>
    <w:p>
      <w:pPr>
        <w:pStyle w:val="Heading2"/>
      </w:pPr>
      <w:r>
        <w:t>What broke and when</w:t>
      </w:r>
    </w:p>
    <w:p>
      <w:pPr>
        <w:spacing w:after="100"/>
      </w:pPr>
      <w:r>
        <w:t>The first major step-down appears in the week of Dec 2: Mexico Stripe fell from 83.0% to 67.3%, Brazil Stripe from 84.2% to 68.2%, and Chile Stripe from 85.4% to 69.1%. In the same week, Mexico PayU was 82.1% and Colombia PayU 79.6%, while Argentina PayU was 78.0%. That channel split strongly indicates a Stripe-specific integration or processing change rather than a universal issuer or customer-funds problem.</w:t>
      </w:r>
    </w:p>
    <w:p>
      <w:pPr>
        <w:spacing w:after="100"/>
      </w:pPr>
      <w:r>
        <w:t>The dossier’s timeline links the decline to Stripe’s Dec 3 EIN rollout. Yuno’s Dec 5 alert found that FitFuel was not sending the merchant_initiated_transaction indicator or stored_credential object required for recurring billing under the new enforcement. By Dec 30, Mexico Stripe was 59.4%, Brazil Stripe 61.1%, and Chile Stripe 62.3%, while PayU remained near its previous range (Mexico 81.9% PayU; Colombia 79.7%; Argentina 78.1%).</w:t>
      </w:r>
    </w:p>
    <w:p>
      <w:pPr>
        <w:pStyle w:val="Heading2"/>
      </w:pPr>
      <w:r>
        <w:t>Evidence from decline codes</w:t>
      </w:r>
    </w:p>
    <w:p>
      <w:pPr>
        <w:spacing w:after="100"/>
      </w:pPr>
      <w:r>
        <w:t>For Stripe over the last seven days, authorization was 61.4% (16,891 attempts; 6,528 declines). The leading listed decline was do_not_honor at 28.3% of declines (1,847), followed by authentication_required at 24.7% (1,612). The latter is a strong, actionable signal of missing authentication handling. Other listed categories include insufficient_funds (13.6%), card_velocity_exceeded (11.2%), and issuer_not_available (3.0%). PayU’s reported authorization rate was 79.9% over 6,457 attempts and 1,296 declines; its leading decline was insufficient_funds (31.8%), a materially different profile.</w:t>
      </w:r>
    </w:p>
    <w:p>
      <w:pPr>
        <w:pStyle w:val="Heading2"/>
      </w:pPr>
      <w:r>
        <w:t>Primary causes and contributing factors</w:t>
      </w:r>
    </w:p>
    <w:p>
      <w:pPr>
        <w:pStyle w:val="ListBullet"/>
        <w:spacing w:after="40"/>
      </w:pPr>
      <w:r>
        <w:t>Primary: Stripe EIN rollout / stricter recurring-payment validation combined with missing MIT and stored-credential fields in FitFuel’s requests.</w:t>
      </w:r>
    </w:p>
    <w:p>
      <w:pPr>
        <w:pStyle w:val="ListBullet"/>
        <w:spacing w:after="40"/>
      </w:pPr>
      <w:r>
        <w:t>Additional segment-specific factor: Banco do Brasil’s Dec 12 3DS2 requirement for MITs above BRL 100. FitFuel’s recurring MIT flow does not currently support 3DS, so affected transactions need a compliant authentication or exception-handling path agreed with Yuno, Stripe, and the issuer/network.</w:t>
      </w:r>
    </w:p>
    <w:p>
      <w:pPr>
        <w:pStyle w:val="ListBullet"/>
        <w:spacing w:after="40"/>
      </w:pPr>
      <w:r>
        <w:t>Detection delay: the Nov 29 billing-service deployment changed internal transaction IDs from numeric values to UUIDs, breaking reconciliation between FitFuel billing records and Yuno transaction records. This impeded investigation but is not shown to have caused the authorization decline.</w:t>
      </w:r>
    </w:p>
    <w:p>
      <w:pPr>
        <w:pStyle w:val="ListBullet"/>
        <w:spacing w:after="40"/>
      </w:pPr>
      <w:r>
        <w:t>Retry tuning may contribute to velocity declines: retry delays were reduced from 48 hours to 24 hours, and 734 Stripe declines (11.2% of declines) were coded card_velocity_exceeded. This is a contributing hypothesis to test, not a proven primary cause.</w:t>
      </w:r>
    </w:p>
    <w:p>
      <w:pPr>
        <w:pStyle w:val="Heading2"/>
      </w:pPr>
      <w:r>
        <w:t>Affected scope and limits</w:t>
      </w:r>
    </w:p>
    <w:p>
      <w:pPr>
        <w:spacing w:after="100"/>
      </w:pPr>
      <w:r>
        <w:t>The observed decline is concentrated in Stripe-routed card renewals: Brazil and Chile are 100% Stripe; Mexico is 40% Stripe and 60% PayU. Colombia and Argentina are PayU-only in the supplied configuration and remain comparatively stable. The source does not provide a complete country × decline-code × transaction-value breakdown, so the exact number of affected Banco do Brasil transactions and the separate contribution of each factor cannot be quantified from the dossier alone.</w:t>
      </w:r>
    </w:p>
    <w:p>
      <w:pPr>
        <w:spacing w:after="100"/>
      </w:pPr>
      <w:r>
        <w:t>Data caveat: the weekly table reports overall authorization at 70.4% for Dec 30, while the separate seven-day Stripe/PayU attempt counts imply a combined rate of about 66.5% (calculated as 22,152 approvals out of 33,348 attempts if the reported decline counts are treated as exhaustive). These may reflect different windows, populations, or definitions. Use one reconciled dashboard and a fixed denominator before presenting a single definitive current rate. The dossier also contains historical week labels that should be validated against the incident timestamps.</w:t>
      </w:r>
    </w:p>
    <w:p>
      <w:pPr>
        <w:pStyle w:val="Heading1"/>
      </w:pPr>
      <w:r>
        <w:t>2. Technical Action Plan</w:t>
      </w:r>
    </w:p>
    <w:p>
      <w:pPr>
        <w:pStyle w:val="Heading2"/>
      </w:pPr>
      <w:r>
        <w:t>Priority 0 — Restore compliant recurring transaction data (same day to 2 business days)</w:t>
      </w:r>
    </w:p>
    <w:p>
      <w:pPr>
        <w:pStyle w:val="ListBullet"/>
        <w:spacing w:after="40"/>
      </w:pPr>
      <w:r>
        <w:t>FitFuel Engineering: inspect the outbound Yuno API payload for renewals and populate the supported merchant-initiated transaction indicator and stored-credential object using the exact schema and values confirmed by Yuno. Ensure the original customer-initiated setup transaction and credential-on-file agreement are correctly referenced where required. Do not guess field names or values; validate against Yuno’s current API specification.</w:t>
      </w:r>
    </w:p>
    <w:p>
      <w:pPr>
        <w:pStyle w:val="ListBullet"/>
        <w:spacing w:after="40"/>
      </w:pPr>
      <w:r>
        <w:t>Yuno: provide the exact required request schema, confirm how Yuno maps MIT/stored-credential data to Stripe, and review sanitized request/response samples with Stripe. Confirm whether any account-level or routing configuration is also required.</w:t>
      </w:r>
    </w:p>
    <w:p>
      <w:pPr>
        <w:pStyle w:val="ListBullet"/>
        <w:spacing w:after="40"/>
      </w:pPr>
      <w:r>
        <w:t>Validation: test with a small controlled cohort and compare approval rate, authentication_required rate, issuer responses, and end-to-end reconciliation against a matched baseline. Roll back only if payload or transaction integrity regresses.</w:t>
      </w:r>
    </w:p>
    <w:p>
      <w:pPr>
        <w:pStyle w:val="ListBullet"/>
        <w:spacing w:after="40"/>
      </w:pPr>
      <w:r>
        <w:t>Expected impact: the source does not provide a guaranteed uplift. A reasonable recovery target is to regain a substantial portion of the approximately 20–24 percentage-point Stripe gap versus its pre-incident level, with the actual uplift confirmed by controlled measurement. At roughly $190K weekly renewal volume and an 82.5% historical overall authorization rate, a return from 70.4% to 82.5% would represent approximately $23K more authorized volume per week (12.1% × $190K), before retries, fees, or downstream collection effects. This is a planning estimate, not a forecast.</w:t>
      </w:r>
    </w:p>
    <w:p>
      <w:pPr>
        <w:pStyle w:val="Heading2"/>
      </w:pPr>
      <w:r>
        <w:t>Priority 1 — Resolve Brazil issuer authentication requirement (1–5 business days, dependent on provider/issuer validation)</w:t>
      </w:r>
    </w:p>
    <w:p>
      <w:pPr>
        <w:pStyle w:val="ListBullet"/>
        <w:spacing w:after="40"/>
      </w:pPr>
      <w:r>
        <w:t>FitFuel + Yuno + Stripe: identify Brazil MITs over BRL 100 and confirm the exact supported compliant flow with Stripe/Yuno, including whether and how a 3DS2 challenge or other issuer-approved treatment can be invoked for these transactions. MITs are not interchangeable with customer-initiated transactions; do not blindly trigger a customer-present 3DS flow on every renewal.</w:t>
      </w:r>
    </w:p>
    <w:p>
      <w:pPr>
        <w:pStyle w:val="ListBullet"/>
        <w:spacing w:after="40"/>
      </w:pPr>
      <w:r>
        <w:t>FitFuel Engineering: implement the agreed flow, customer notification/consent handling where customer action is required, and a clear exception path for transactions that cannot be authenticated. Test both below- and above-threshold transactions.</w:t>
      </w:r>
    </w:p>
    <w:p>
      <w:pPr>
        <w:pStyle w:val="ListBullet"/>
        <w:spacing w:after="40"/>
      </w:pPr>
      <w:r>
        <w:t>Expected impact: improves approvals only in the affected Brazil issuer/value segment. Quantification requires counts and value of Banco do Brasil MITs above BRL 100; the source does not supply these.</w:t>
      </w:r>
    </w:p>
    <w:p>
      <w:pPr>
        <w:pStyle w:val="Heading2"/>
      </w:pPr>
      <w:r>
        <w:t>Priority 2 — Tune retries and decline classification (2–5 business days)</w:t>
      </w:r>
    </w:p>
    <w:p>
      <w:pPr>
        <w:pStyle w:val="ListBullet"/>
        <w:spacing w:after="40"/>
      </w:pPr>
      <w:r>
        <w:t>FitFuel: preserve the no-retry rule for hard declines such as lost_card, expired_card, and confirmed fraud. For soft declines, use decline-code-specific delays rather than a universal 24-hour retry. Evaluate a longer delay for velocity-related declines and issuer outages; use a limited retry budget and stop after the configured attempts.</w:t>
      </w:r>
    </w:p>
    <w:p>
      <w:pPr>
        <w:pStyle w:val="ListBullet"/>
        <w:spacing w:after="40"/>
      </w:pPr>
      <w:r>
        <w:t>Yuno + FitFuel: map raw processor responses into a shared taxonomy, and confirm whether do_not_honor should be treated as non-retryable by default or retried only under specific issuer/network guidance. Do not classify it as definitively permanent in every context without processor guidance.</w:t>
      </w:r>
    </w:p>
    <w:p>
      <w:pPr>
        <w:pStyle w:val="ListBullet"/>
        <w:spacing w:after="40"/>
      </w:pPr>
      <w:r>
        <w:t>Expected impact: reduce repeated failed attempts and velocity blocks; do not claim a numeric uplift until an A/B or holdout test measures incremental recovery.</w:t>
      </w:r>
    </w:p>
    <w:p>
      <w:pPr>
        <w:pStyle w:val="Heading2"/>
      </w:pPr>
      <w:r>
        <w:t>Priority 3 — Repair reconciliation and observability (1–3 business days)</w:t>
      </w:r>
    </w:p>
    <w:p>
      <w:pPr>
        <w:pStyle w:val="ListBullet"/>
        <w:spacing w:after="40"/>
      </w:pPr>
      <w:r>
        <w:t>FitFuel Engineering: maintain a stable internal billing ID and store the Yuno transaction ID as a separate immutable field; build an explicit mapping across UUID, subscription ID, invoice ID, and provider transaction ID. Backfill the missing mapping if logs permit.</w:t>
      </w:r>
    </w:p>
    <w:p>
      <w:pPr>
        <w:pStyle w:val="ListBullet"/>
        <w:spacing w:after="40"/>
      </w:pPr>
      <w:r>
        <w:t>Yuno + FitFuel: create an alert for a material authorization-rate deviation by acquirer, country, and recurring transaction type; alert on authentication_required, missing MIT/stored-credential fields, and reconciliation mismatches. Route alerts to both Payments and Engineering.</w:t>
      </w:r>
    </w:p>
    <w:p>
      <w:pPr>
        <w:pStyle w:val="ListBullet"/>
        <w:spacing w:after="40"/>
      </w:pPr>
      <w:r>
        <w:t>Expected impact: faster detection and shorter incident duration; the direct approval uplift is indirect and should not be represented as guaranteed recovered revenue.</w:t>
      </w:r>
    </w:p>
    <w:p>
      <w:pPr>
        <w:pStyle w:val="Heading2"/>
      </w:pPr>
      <w:r>
        <w:t>Owners, dependencies, and rollout guardrails</w:t>
      </w:r>
    </w:p>
    <w:p>
      <w:pPr>
        <w:spacing w:after="100"/>
      </w:pPr>
      <w:r>
        <w:t>FitFuel Engineering owns request payloads, retry logic, ID mapping, and instrumentation. Yuno owns API guidance, transaction tracing, routing/configuration review, and escalation to Stripe. Stripe/issuer confirmation is required for the exact MIT and 3DS2 behavior. Roll out by a small cohort, then by country/acquirer segment; track approval rate, attempt count, decline mix, customer recovery, chargebacks, and reconciliation completeness daily.</w:t>
      </w:r>
    </w:p>
    <w:p>
      <w:pPr>
        <w:pStyle w:val="Heading1"/>
      </w:pPr>
      <w:r>
        <w:t>3. Merchant-Facing Communication</w:t>
      </w:r>
    </w:p>
    <w:p>
      <w:pPr>
        <w:spacing w:after="100"/>
      </w:pPr>
      <w:r>
        <w:rPr>
          <w:b/>
        </w:rPr>
        <w:t>Subject: FitFuel renewals — root cause confirmed and recovery plan</w:t>
      </w:r>
    </w:p>
    <w:p>
      <w:pPr>
        <w:spacing w:after="100"/>
      </w:pPr>
      <w:r>
        <w:t>Hi Daniela and Marco,</w:t>
      </w:r>
    </w:p>
    <w:p>
      <w:pPr>
        <w:spacing w:after="100"/>
      </w:pPr>
      <w:r>
        <w:t>We’ve identified a clear, evidence-backed explanation for the renewal decline. The impact is concentrated in Stripe-routed transactions, while PayU remains near its prior performance. In the week of Dec 2, Mexico Stripe fell from 83.0% to 67.3%, Brazil Stripe from 84.2% to 68.2%, and Chile Stripe from 85.4% to 69.1%. By Dec 30, those rates had fallen to 59.4%, 61.1%, and 62.3%, respectively. PayU segments stayed broadly stable.</w:t>
      </w:r>
    </w:p>
    <w:p>
      <w:pPr>
        <w:spacing w:after="100"/>
      </w:pPr>
      <w:r>
        <w:t>The primary issue is a mismatch between Stripe’s new recurring-payment requirements and the data FitFuel sends. Yuno flagged on Dec 5 that the requests lacked the MIT indicator and stored-credential data. Stripe’s recent EIN rollout is consistent with the timing and channel-specific pattern. In the latest seven-day Stripe data, authentication_required accounts for 1,612 declines, or 24.7% of Stripe declines. Brazil also needs a separate review because Banco do Brasil introduced a 3DS2 requirement for certain MITs above BRL 100.</w:t>
      </w:r>
    </w:p>
    <w:p>
      <w:pPr>
        <w:spacing w:after="100"/>
      </w:pPr>
      <w:r>
        <w:t>The Nov 29 billing-service deployment is not supported as the cause of the authorization drop: PayU remained stable and the decline aligns with Stripe’s enforcement change. However, the UUID change did break internal reconciliation and delayed detection, so we should fix that in parallel.</w:t>
      </w:r>
    </w:p>
    <w:p>
      <w:pPr>
        <w:spacing w:after="100"/>
      </w:pPr>
      <w:r>
        <w:t>Today, Yuno and FitFuel Engineering will validate the required request fields against the current API contract, test a controlled cohort, and monitor authorization and decline-code changes. In parallel, we’ll confirm the compliant path for affected Brazil transactions, tune retries by decline type, and restore reliable transaction-ID mapping. We’ll share measured results before expanding the rollout.</w:t>
      </w:r>
    </w:p>
    <w:p>
      <w:pPr>
        <w:spacing w:after="100"/>
      </w:pPr>
      <w:r>
        <w:t>Using the historical overall rate of about 82.5% as a planning benchmark, moving from the Dec 30 table rate of 70.4% back to that level would mean roughly $23K more authorized renewal volume per week at $190K weekly volume. This is an estimate, not a guarantee; we’ll report actual results using a reconciled denominator and clearly defined measurement window.</w:t>
      </w:r>
    </w:p>
    <w:p>
      <w:pPr>
        <w:spacing w:after="100"/>
      </w:pPr>
      <w:r>
        <w:t>We understand the urgency and will provide one shared daily update with owners, evidence, and measured recovery. The data points to a fixable integration/compliance issue, not a need to make an immediate provider-switch decision before the controlled remediation is measured.</w:t>
      </w:r>
    </w:p>
    <w:p>
      <w:pPr>
        <w:spacing w:after="160" w:before="40"/>
      </w:pPr>
      <w:r>
        <w:t>Regards,</w:t>
        <w:br/>
        <w:t>Technical Account Management — Yuno</w:t>
      </w:r>
    </w:p>
    <w:p>
      <w:pPr>
        <w:pStyle w:val="Heading1"/>
      </w:pPr>
      <w:r>
        <w:t>4. Proactive Optimization Recommendations</w:t>
      </w:r>
    </w:p>
    <w:p>
      <w:pPr>
        <w:pStyle w:val="Heading2"/>
      </w:pPr>
      <w:r>
        <w:t>1. Acquirer routing resilience and controlled traffic optimization</w:t>
      </w:r>
    </w:p>
    <w:p>
      <w:pPr>
        <w:spacing w:after="100"/>
      </w:pPr>
      <w:r>
        <w:t>Recommendation: after the integration is corrected, run a country- and segment-level routing experiment for eligible Mexico traffic, where the current split is 60% PayU / 40% Stripe. Compare authorization, total cost, latency, and dispute performance rather than moving all traffic based on one incident. Evaluate a qualified backup acquirer for Brazil and Chile, where the supplied configuration is 100% Stripe, subject to local coverage, commercial terms, token portability, and certification.</w:t>
      </w:r>
    </w:p>
    <w:p>
      <w:pPr>
        <w:spacing w:after="100"/>
      </w:pPr>
      <w:r>
        <w:t>Potential impact: reduce concentration risk and create a fallback if one route degrades. The source does not provide acquirer fees, backup-provider capability, or eligible routing volumes, so a reliable dollar estimate cannot be made yet. Complexity: medium to high (commercial review, integration, certification, routing rules, and monitoring).</w:t>
      </w:r>
    </w:p>
    <w:p>
      <w:pPr>
        <w:pStyle w:val="Heading2"/>
      </w:pPr>
      <w:r>
        <w:t>2. Retry orchestration and account-updater/token health</w:t>
      </w:r>
    </w:p>
    <w:p>
      <w:pPr>
        <w:spacing w:after="100"/>
      </w:pPr>
      <w:r>
        <w:t>Recommendation: segment retries by decline reason and issuer response; avoid repeating attempts that trigger velocity controls. Track expiry, reissue, and token-related failures separately. Ask Yuno/acquirers whether account updater or network token lifecycle services are available for FitFuel’s card mix, and measure the eligible-card coverage before enabling them.</w:t>
      </w:r>
    </w:p>
    <w:p>
      <w:pPr>
        <w:spacing w:after="100"/>
      </w:pPr>
      <w:r>
        <w:t>Potential impact: recover a portion of soft-decline revenue and prevent avoidable failures from expired or refreshed cards. The dossier shows 381 expired-card declines on Stripe and 156 on PayU in the reported seven-day period, but it does not establish how many can be recovered with account updates. Complexity: medium; depends on provider support, card-network eligibility, and customer-consent rules.</w:t>
      </w:r>
    </w:p>
    <w:p>
      <w:pPr>
        <w:pStyle w:val="Heading2"/>
      </w:pPr>
      <w:r>
        <w:t>3. Local payment-method strategy for renewals</w:t>
      </w:r>
    </w:p>
    <w:p>
      <w:pPr>
        <w:spacing w:after="100"/>
      </w:pPr>
      <w:r>
        <w:t>Recommendation: assess PIX recurring/automatic-payment support in Brazil and Mercado Pago or other locally relevant methods where supported, but validate the recurring mandate, customer authorization, refund/dispute operations, and actual renewal eligibility before launch. PIX may be valuable in Brazil, but a one-time PIX flow is not automatically equivalent to an automatically recurring card charge.</w:t>
      </w:r>
    </w:p>
    <w:p>
      <w:pPr>
        <w:spacing w:after="100"/>
      </w:pPr>
      <w:r>
        <w:t>Potential impact: diversify payment rails and reduce dependence on card authorization for customers willing to opt in. No credible conversion or revenue estimate is available without the country-level payment-method mix, customer preference, and provider pricing. Complexity: medium to high, depending on recurring-payment product availability and product/checkout changes.</w:t>
      </w:r>
    </w:p>
    <w:p>
      <w:pPr>
        <w:pStyle w:val="Heading1"/>
      </w:pPr>
      <w:r>
        <w:t>Appendix — Measurement and assumptions</w:t>
      </w:r>
    </w:p>
    <w:p>
      <w:pPr>
        <w:pStyle w:val="ListBullet"/>
        <w:spacing w:after="40"/>
      </w:pPr>
      <w:r>
        <w:t>All incident facts and segment figures above are taken from the supplied FitFuel dossier. Recommendations and impact estimates are operational proposals, not provider commitments.</w:t>
      </w:r>
    </w:p>
    <w:p>
      <w:pPr>
        <w:pStyle w:val="ListBullet"/>
        <w:spacing w:after="40"/>
      </w:pPr>
      <w:r>
        <w:t>Illustrative weekly recovery calculation: $190,000 × (82.5% − 70.4%) = $22,990, or approximately $23K of additional authorized volume per week if the historical benchmark is restored and weekly volume remains constant.</w:t>
      </w:r>
    </w:p>
    <w:p>
      <w:pPr>
        <w:pStyle w:val="ListBullet"/>
        <w:spacing w:after="40"/>
      </w:pPr>
      <w:r>
        <w:t>Authorization rate is not the same as settled revenue or retained subscribers. Measure downstream capture, settlement, involuntary churn, retries, fees, and customer recovery before translating authorization gains into net revenue.</w:t>
      </w:r>
    </w:p>
    <w:p>
      <w:pPr>
        <w:pStyle w:val="ListBullet"/>
        <w:spacing w:after="40"/>
      </w:pPr>
      <w:r>
        <w:t>The dossier’s 70.4% overall weekly rate and the separately reported acquirer attempt/decline counts do not reconcile cleanly. Establish a single source of truth with identical time windows, populations, and definitions before executive reporting.</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FitFuel Renewal Incident Analysis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5324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C6E8C"/>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5324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