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Heading"/>
            <w:spacing w:before="120" w:after="120"/>
            <w:rPr>
              <w:rFonts w:ascii="Times New Roman" w:hAnsi="Times New Roman" w:cs="Times New Roman"/>
            </w:rPr>
          </w:pPr>
          <w:r w:rsidRPr="00FA0933">
            <w:rPr>
              <w:rFonts w:ascii="Times New Roman" w:hAnsi="Times New Roman" w:cs="Times New Roman"/>
              <w:lang w:val="zh-TW"/>
            </w:rPr>
            <w:t>Table of Content</w:t>
          </w:r>
        </w:p>
        <w:p w14:paraId="3C409E77" w14:textId="394C767C" w:rsidR="005D0054" w:rsidRDefault="00516975">
          <w:pPr>
            <w:pStyle w:val="TOC1"/>
            <w:tabs>
              <w:tab w:val="right" w:leader="dot" w:pos="8296"/>
            </w:tabs>
            <w:rPr>
              <w:noProof/>
              <w:szCs w:val="24"/>
              <w:lang w:val="en-HK"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13805" w:history="1">
            <w:r w:rsidR="005D0054" w:rsidRPr="00F83AF8">
              <w:rPr>
                <w:rStyle w:val="Hyperlink"/>
                <w:rFonts w:ascii="Times New Roman" w:hAnsi="Times New Roman" w:cs="Times New Roman"/>
                <w:noProof/>
              </w:rPr>
              <w:t>Introduction</w:t>
            </w:r>
            <w:r w:rsidR="005D0054">
              <w:rPr>
                <w:noProof/>
                <w:webHidden/>
              </w:rPr>
              <w:tab/>
            </w:r>
            <w:r w:rsidR="005D0054">
              <w:rPr>
                <w:noProof/>
                <w:webHidden/>
              </w:rPr>
              <w:fldChar w:fldCharType="begin"/>
            </w:r>
            <w:r w:rsidR="005D0054">
              <w:rPr>
                <w:noProof/>
                <w:webHidden/>
              </w:rPr>
              <w:instrText xml:space="preserve"> PAGEREF _Toc202813805 \h </w:instrText>
            </w:r>
            <w:r w:rsidR="005D0054">
              <w:rPr>
                <w:noProof/>
                <w:webHidden/>
              </w:rPr>
            </w:r>
            <w:r w:rsidR="005D0054">
              <w:rPr>
                <w:noProof/>
                <w:webHidden/>
              </w:rPr>
              <w:fldChar w:fldCharType="separate"/>
            </w:r>
            <w:r w:rsidR="005D0054">
              <w:rPr>
                <w:noProof/>
                <w:webHidden/>
              </w:rPr>
              <w:t>2</w:t>
            </w:r>
            <w:r w:rsidR="005D0054">
              <w:rPr>
                <w:noProof/>
                <w:webHidden/>
              </w:rPr>
              <w:fldChar w:fldCharType="end"/>
            </w:r>
          </w:hyperlink>
        </w:p>
        <w:p w14:paraId="160C0AA8" w14:textId="165FDCD1" w:rsidR="005D0054" w:rsidRDefault="005D0054">
          <w:pPr>
            <w:pStyle w:val="TOC1"/>
            <w:tabs>
              <w:tab w:val="right" w:leader="dot" w:pos="8296"/>
            </w:tabs>
            <w:rPr>
              <w:noProof/>
              <w:szCs w:val="24"/>
              <w:lang w:val="en-HK" w:eastAsia="zh-CN"/>
              <w14:ligatures w14:val="standardContextual"/>
            </w:rPr>
          </w:pPr>
          <w:hyperlink w:anchor="_Toc202813806" w:history="1">
            <w:r w:rsidRPr="00F83AF8">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_Toc202813806 \h </w:instrText>
            </w:r>
            <w:r>
              <w:rPr>
                <w:noProof/>
                <w:webHidden/>
              </w:rPr>
            </w:r>
            <w:r>
              <w:rPr>
                <w:noProof/>
                <w:webHidden/>
              </w:rPr>
              <w:fldChar w:fldCharType="separate"/>
            </w:r>
            <w:r>
              <w:rPr>
                <w:noProof/>
                <w:webHidden/>
              </w:rPr>
              <w:t>3</w:t>
            </w:r>
            <w:r>
              <w:rPr>
                <w:noProof/>
                <w:webHidden/>
              </w:rPr>
              <w:fldChar w:fldCharType="end"/>
            </w:r>
          </w:hyperlink>
        </w:p>
        <w:p w14:paraId="6701972F" w14:textId="000BB120" w:rsidR="005D0054" w:rsidRDefault="005D0054">
          <w:pPr>
            <w:pStyle w:val="TOC1"/>
            <w:tabs>
              <w:tab w:val="right" w:leader="dot" w:pos="8296"/>
            </w:tabs>
            <w:rPr>
              <w:noProof/>
              <w:szCs w:val="24"/>
              <w:lang w:val="en-HK" w:eastAsia="zh-CN"/>
              <w14:ligatures w14:val="standardContextual"/>
            </w:rPr>
          </w:pPr>
          <w:hyperlink w:anchor="_Toc202813807" w:history="1">
            <w:r w:rsidRPr="00F83AF8">
              <w:rPr>
                <w:rStyle w:val="Hyperlink"/>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_Toc202813807 \h </w:instrText>
            </w:r>
            <w:r>
              <w:rPr>
                <w:noProof/>
                <w:webHidden/>
              </w:rPr>
            </w:r>
            <w:r>
              <w:rPr>
                <w:noProof/>
                <w:webHidden/>
              </w:rPr>
              <w:fldChar w:fldCharType="separate"/>
            </w:r>
            <w:r>
              <w:rPr>
                <w:noProof/>
                <w:webHidden/>
              </w:rPr>
              <w:t>4</w:t>
            </w:r>
            <w:r>
              <w:rPr>
                <w:noProof/>
                <w:webHidden/>
              </w:rPr>
              <w:fldChar w:fldCharType="end"/>
            </w:r>
          </w:hyperlink>
        </w:p>
        <w:p w14:paraId="4311E334" w14:textId="42B957C6" w:rsidR="005D0054" w:rsidRDefault="005D0054">
          <w:pPr>
            <w:pStyle w:val="TOC1"/>
            <w:tabs>
              <w:tab w:val="right" w:leader="dot" w:pos="8296"/>
            </w:tabs>
            <w:rPr>
              <w:noProof/>
              <w:szCs w:val="24"/>
              <w:lang w:val="en-HK" w:eastAsia="zh-CN"/>
              <w14:ligatures w14:val="standardContextual"/>
            </w:rPr>
          </w:pPr>
          <w:hyperlink w:anchor="_Toc202813808" w:history="1">
            <w:r w:rsidRPr="00F83AF8">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_Toc202813808 \h </w:instrText>
            </w:r>
            <w:r>
              <w:rPr>
                <w:noProof/>
                <w:webHidden/>
              </w:rPr>
            </w:r>
            <w:r>
              <w:rPr>
                <w:noProof/>
                <w:webHidden/>
              </w:rPr>
              <w:fldChar w:fldCharType="separate"/>
            </w:r>
            <w:r>
              <w:rPr>
                <w:noProof/>
                <w:webHidden/>
              </w:rPr>
              <w:t>4</w:t>
            </w:r>
            <w:r>
              <w:rPr>
                <w:noProof/>
                <w:webHidden/>
              </w:rPr>
              <w:fldChar w:fldCharType="end"/>
            </w:r>
          </w:hyperlink>
        </w:p>
        <w:p w14:paraId="204628C5" w14:textId="6C516945" w:rsidR="005D0054" w:rsidRDefault="005D0054">
          <w:pPr>
            <w:pStyle w:val="TOC1"/>
            <w:tabs>
              <w:tab w:val="right" w:leader="dot" w:pos="8296"/>
            </w:tabs>
            <w:rPr>
              <w:noProof/>
              <w:szCs w:val="24"/>
              <w:lang w:val="en-HK" w:eastAsia="zh-CN"/>
              <w14:ligatures w14:val="standardContextual"/>
            </w:rPr>
          </w:pPr>
          <w:hyperlink w:anchor="_Toc202813809" w:history="1">
            <w:r w:rsidRPr="00F83AF8">
              <w:rPr>
                <w:rStyle w:val="Hyperlink"/>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_Toc202813809 \h </w:instrText>
            </w:r>
            <w:r>
              <w:rPr>
                <w:noProof/>
                <w:webHidden/>
              </w:rPr>
            </w:r>
            <w:r>
              <w:rPr>
                <w:noProof/>
                <w:webHidden/>
              </w:rPr>
              <w:fldChar w:fldCharType="separate"/>
            </w:r>
            <w:r>
              <w:rPr>
                <w:noProof/>
                <w:webHidden/>
              </w:rPr>
              <w:t>4</w:t>
            </w:r>
            <w:r>
              <w:rPr>
                <w:noProof/>
                <w:webHidden/>
              </w:rPr>
              <w:fldChar w:fldCharType="end"/>
            </w:r>
          </w:hyperlink>
        </w:p>
        <w:p w14:paraId="3E96D01A" w14:textId="63659D6B" w:rsidR="005D0054" w:rsidRDefault="005D0054">
          <w:pPr>
            <w:pStyle w:val="TOC1"/>
            <w:tabs>
              <w:tab w:val="right" w:leader="dot" w:pos="8296"/>
            </w:tabs>
            <w:rPr>
              <w:noProof/>
              <w:szCs w:val="24"/>
              <w:lang w:val="en-HK" w:eastAsia="zh-CN"/>
              <w14:ligatures w14:val="standardContextual"/>
            </w:rPr>
          </w:pPr>
          <w:hyperlink w:anchor="_Toc202813810" w:history="1">
            <w:r w:rsidRPr="00F83AF8">
              <w:rPr>
                <w:rStyle w:val="Hyperlink"/>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_Toc202813810 \h </w:instrText>
            </w:r>
            <w:r>
              <w:rPr>
                <w:noProof/>
                <w:webHidden/>
              </w:rPr>
            </w:r>
            <w:r>
              <w:rPr>
                <w:noProof/>
                <w:webHidden/>
              </w:rPr>
              <w:fldChar w:fldCharType="separate"/>
            </w:r>
            <w:r>
              <w:rPr>
                <w:noProof/>
                <w:webHidden/>
              </w:rPr>
              <w:t>4</w:t>
            </w:r>
            <w:r>
              <w:rPr>
                <w:noProof/>
                <w:webHidden/>
              </w:rPr>
              <w:fldChar w:fldCharType="end"/>
            </w:r>
          </w:hyperlink>
        </w:p>
        <w:p w14:paraId="3ABA5AAD" w14:textId="76109B2B" w:rsidR="005D0054" w:rsidRDefault="005D0054">
          <w:pPr>
            <w:pStyle w:val="TOC1"/>
            <w:tabs>
              <w:tab w:val="right" w:leader="dot" w:pos="8296"/>
            </w:tabs>
            <w:rPr>
              <w:noProof/>
              <w:szCs w:val="24"/>
              <w:lang w:val="en-HK" w:eastAsia="zh-CN"/>
              <w14:ligatures w14:val="standardContextual"/>
            </w:rPr>
          </w:pPr>
          <w:hyperlink w:anchor="_Toc202813811" w:history="1">
            <w:r w:rsidRPr="00F83AF8">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_Toc202813811 \h </w:instrText>
            </w:r>
            <w:r>
              <w:rPr>
                <w:noProof/>
                <w:webHidden/>
              </w:rPr>
            </w:r>
            <w:r>
              <w:rPr>
                <w:noProof/>
                <w:webHidden/>
              </w:rPr>
              <w:fldChar w:fldCharType="separate"/>
            </w:r>
            <w:r>
              <w:rPr>
                <w:noProof/>
                <w:webHidden/>
              </w:rPr>
              <w:t>5</w:t>
            </w:r>
            <w:r>
              <w:rPr>
                <w:noProof/>
                <w:webHidden/>
              </w:rPr>
              <w:fldChar w:fldCharType="end"/>
            </w:r>
          </w:hyperlink>
        </w:p>
        <w:p w14:paraId="1A356189" w14:textId="6B6A73C7" w:rsidR="005D0054" w:rsidRDefault="005D0054">
          <w:pPr>
            <w:pStyle w:val="TOC1"/>
            <w:tabs>
              <w:tab w:val="right" w:leader="dot" w:pos="8296"/>
            </w:tabs>
            <w:rPr>
              <w:noProof/>
              <w:szCs w:val="24"/>
              <w:lang w:val="en-HK" w:eastAsia="zh-CN"/>
              <w14:ligatures w14:val="standardContextual"/>
            </w:rPr>
          </w:pPr>
          <w:hyperlink w:anchor="_Toc202813812" w:history="1">
            <w:r w:rsidRPr="00F83AF8">
              <w:rPr>
                <w:rStyle w:val="Hyperlink"/>
                <w:noProof/>
              </w:rPr>
              <w:t>Conclusion</w:t>
            </w:r>
            <w:r>
              <w:rPr>
                <w:noProof/>
                <w:webHidden/>
              </w:rPr>
              <w:tab/>
            </w:r>
            <w:r>
              <w:rPr>
                <w:noProof/>
                <w:webHidden/>
              </w:rPr>
              <w:fldChar w:fldCharType="begin"/>
            </w:r>
            <w:r>
              <w:rPr>
                <w:noProof/>
                <w:webHidden/>
              </w:rPr>
              <w:instrText xml:space="preserve"> PAGEREF _Toc202813812 \h </w:instrText>
            </w:r>
            <w:r>
              <w:rPr>
                <w:noProof/>
                <w:webHidden/>
              </w:rPr>
            </w:r>
            <w:r>
              <w:rPr>
                <w:noProof/>
                <w:webHidden/>
              </w:rPr>
              <w:fldChar w:fldCharType="separate"/>
            </w:r>
            <w:r>
              <w:rPr>
                <w:noProof/>
                <w:webHidden/>
              </w:rPr>
              <w:t>7</w:t>
            </w:r>
            <w:r>
              <w:rPr>
                <w:noProof/>
                <w:webHidden/>
              </w:rPr>
              <w:fldChar w:fldCharType="end"/>
            </w:r>
          </w:hyperlink>
        </w:p>
        <w:p w14:paraId="07820D2B" w14:textId="0CEB9193"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Heading1"/>
        <w:spacing w:before="120" w:after="120"/>
        <w:rPr>
          <w:rFonts w:ascii="Times New Roman" w:hAnsi="Times New Roman" w:cs="Times New Roman"/>
        </w:rPr>
      </w:pPr>
      <w:bookmarkStart w:id="0" w:name="_Toc202813805"/>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Overview of Existing and Attrition Customer circumstance</w:t>
      </w:r>
    </w:p>
    <w:p w14:paraId="290B52E1"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 pattern of customers' credit card utilization behaviours</w:t>
      </w:r>
    </w:p>
    <w:p w14:paraId="327741F4"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Heading1"/>
        <w:spacing w:before="120" w:after="120"/>
        <w:rPr>
          <w:rFonts w:ascii="Times New Roman" w:hAnsi="Times New Roman" w:cs="Times New Roman"/>
        </w:rPr>
      </w:pPr>
      <w:bookmarkStart w:id="1" w:name="_Toc202813806"/>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GridTable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0A12D5"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BE72CA" w:rsidRPr="00FA0933" w:rsidRDefault="00BE72CA" w:rsidP="00BE72CA">
            <w:pPr>
              <w:spacing w:before="120" w:after="120"/>
            </w:pPr>
            <w:r w:rsidRPr="00FA0933">
              <w:t>CLIENTNUM</w:t>
            </w:r>
          </w:p>
        </w:tc>
        <w:tc>
          <w:tcPr>
            <w:tcW w:w="990" w:type="dxa"/>
          </w:tcPr>
          <w:p w14:paraId="5FC68F3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3CC5399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753F675D"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9F0AC2"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BE72CA" w:rsidRPr="00FA0933" w:rsidRDefault="00BE72CA" w:rsidP="00BE72CA">
            <w:pPr>
              <w:spacing w:before="120" w:after="120"/>
            </w:pPr>
            <w:r w:rsidRPr="00FA0933">
              <w:t>Customer_Age</w:t>
            </w:r>
          </w:p>
        </w:tc>
        <w:tc>
          <w:tcPr>
            <w:tcW w:w="990" w:type="dxa"/>
          </w:tcPr>
          <w:p w14:paraId="37E1E09B"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0 to 120</w:t>
            </w:r>
          </w:p>
        </w:tc>
        <w:tc>
          <w:tcPr>
            <w:tcW w:w="1170" w:type="dxa"/>
          </w:tcPr>
          <w:p w14:paraId="5513DAE8"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0A12D5"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BE72CA" w:rsidRPr="00FA0933" w:rsidRDefault="00BE72CA" w:rsidP="00BE72CA">
            <w:pPr>
              <w:spacing w:before="120" w:after="120"/>
            </w:pPr>
            <w:r w:rsidRPr="00FA0933">
              <w:t>Dependent_count</w:t>
            </w:r>
          </w:p>
        </w:tc>
        <w:tc>
          <w:tcPr>
            <w:tcW w:w="990" w:type="dxa"/>
          </w:tcPr>
          <w:p w14:paraId="4B07113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6D694F3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9F0AC2"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BE72CA" w:rsidRPr="00FA0933" w:rsidRDefault="00BE72CA" w:rsidP="00BE72CA">
            <w:pPr>
              <w:spacing w:before="120" w:after="120"/>
            </w:pPr>
            <w:r w:rsidRPr="00FA0933">
              <w:t xml:space="preserve">Credit_Limit          </w:t>
            </w:r>
          </w:p>
        </w:tc>
        <w:tc>
          <w:tcPr>
            <w:tcW w:w="990" w:type="dxa"/>
          </w:tcPr>
          <w:p w14:paraId="3AF89144"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5D47404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11792D5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0A12D5"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BE72CA" w:rsidRPr="00FA0933" w:rsidRDefault="00BE72CA" w:rsidP="00BE72CA">
            <w:pPr>
              <w:spacing w:before="120" w:after="120"/>
            </w:pPr>
            <w:r w:rsidRPr="00FA0933">
              <w:t>Total_Revolving_Bal</w:t>
            </w:r>
          </w:p>
        </w:tc>
        <w:tc>
          <w:tcPr>
            <w:tcW w:w="990" w:type="dxa"/>
          </w:tcPr>
          <w:p w14:paraId="5E17194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5B693DA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9F0AC2"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BE72CA" w:rsidRPr="00FA0933" w:rsidRDefault="00BE72CA" w:rsidP="00BE72CA">
            <w:pPr>
              <w:spacing w:before="120" w:after="120"/>
            </w:pPr>
            <w:r w:rsidRPr="00FA0933">
              <w:t>Avg_Open_To_Buy</w:t>
            </w:r>
          </w:p>
        </w:tc>
        <w:tc>
          <w:tcPr>
            <w:tcW w:w="990" w:type="dxa"/>
          </w:tcPr>
          <w:p w14:paraId="6C74C4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749D28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0A12D5"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BE72CA" w:rsidRPr="00FA0933" w:rsidRDefault="00BE72CA" w:rsidP="00BE72CA">
            <w:pPr>
              <w:spacing w:before="120" w:after="120"/>
            </w:pPr>
            <w:r w:rsidRPr="00FA0933">
              <w:t>Total_Trans_Amt</w:t>
            </w:r>
          </w:p>
        </w:tc>
        <w:tc>
          <w:tcPr>
            <w:tcW w:w="990" w:type="dxa"/>
          </w:tcPr>
          <w:p w14:paraId="13A9596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2C23121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9F0AC2"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BE72CA" w:rsidRPr="00FA0933" w:rsidRDefault="00BE72CA" w:rsidP="00BE72CA">
            <w:pPr>
              <w:spacing w:before="120" w:after="120"/>
            </w:pPr>
            <w:r w:rsidRPr="00FA0933">
              <w:t>Total_Trans_Ct</w:t>
            </w:r>
          </w:p>
        </w:tc>
        <w:tc>
          <w:tcPr>
            <w:tcW w:w="990" w:type="dxa"/>
          </w:tcPr>
          <w:p w14:paraId="5329CA4A"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371B4851"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0A12D5"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BE72CA" w:rsidRPr="00FA0933" w:rsidRDefault="00BE72CA" w:rsidP="00BE72CA">
            <w:pPr>
              <w:spacing w:before="120" w:after="120"/>
            </w:pPr>
            <w:r w:rsidRPr="00FA0933">
              <w:t>Avg_Utilization_Ratio</w:t>
            </w:r>
          </w:p>
        </w:tc>
        <w:tc>
          <w:tcPr>
            <w:tcW w:w="990" w:type="dxa"/>
          </w:tcPr>
          <w:p w14:paraId="14D3E62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 to 1</w:t>
            </w:r>
          </w:p>
        </w:tc>
        <w:tc>
          <w:tcPr>
            <w:tcW w:w="1170" w:type="dxa"/>
          </w:tcPr>
          <w:p w14:paraId="0BD561E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088D25C" w14:textId="408B9F6F" w:rsidR="001C413F" w:rsidRPr="00FA0933" w:rsidRDefault="001C413F" w:rsidP="00BE72CA">
      <w:pPr>
        <w:spacing w:before="120" w:after="120"/>
        <w:rPr>
          <w:rFonts w:ascii="Times New Roman" w:hAnsi="Times New Roman" w:cs="Times New Roman"/>
        </w:rPr>
      </w:pPr>
    </w:p>
    <w:p w14:paraId="77D85040" w14:textId="45FDABEB" w:rsidR="00F81681" w:rsidRPr="00FA0933" w:rsidRDefault="001C413F"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60FCC3F8" w14:textId="15EE420D" w:rsidR="00FA0933" w:rsidRDefault="00FA0933" w:rsidP="00BE72CA">
      <w:pPr>
        <w:pStyle w:val="Heading1"/>
        <w:spacing w:before="120" w:after="120"/>
        <w:rPr>
          <w:rFonts w:ascii="Times New Roman" w:hAnsi="Times New Roman" w:cs="Times New Roman"/>
        </w:rPr>
      </w:pPr>
      <w:bookmarkStart w:id="2" w:name="_Toc202813807"/>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treeviews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Hyperlink"/>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Heading1"/>
        <w:rPr>
          <w:rFonts w:ascii="Times New Roman" w:hAnsi="Times New Roman" w:cs="Times New Roman"/>
        </w:rPr>
      </w:pPr>
      <w:bookmarkStart w:id="3" w:name="_Toc202813808"/>
      <w:r w:rsidRPr="00FA0933">
        <w:rPr>
          <w:rFonts w:ascii="Times New Roman" w:hAnsi="Times New Roman" w:cs="Times New Roman"/>
        </w:rPr>
        <w:t>Roles</w:t>
      </w:r>
      <w:bookmarkEnd w:id="3"/>
    </w:p>
    <w:tbl>
      <w:tblPr>
        <w:tblStyle w:val="TableGrid"/>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TAN James Anthroi</w:t>
            </w:r>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77777777" w:rsidR="00F532CE" w:rsidRDefault="00F532CE" w:rsidP="00803884">
            <w:pPr>
              <w:widowControl/>
            </w:pP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TAN Xiuhao</w:t>
            </w:r>
          </w:p>
        </w:tc>
        <w:tc>
          <w:tcPr>
            <w:tcW w:w="1843" w:type="dxa"/>
          </w:tcPr>
          <w:p w14:paraId="64BDF087" w14:textId="184CE2BD" w:rsidR="003E2CAA" w:rsidRDefault="00D33B3E" w:rsidP="00803884">
            <w:pPr>
              <w:widowControl/>
            </w:pPr>
            <w:r>
              <w:t>Product Owner</w:t>
            </w:r>
          </w:p>
        </w:tc>
        <w:tc>
          <w:tcPr>
            <w:tcW w:w="4252" w:type="dxa"/>
          </w:tcPr>
          <w:p w14:paraId="65C169D2" w14:textId="77777777" w:rsidR="003E2CAA" w:rsidRDefault="003E2CAA" w:rsidP="00803884">
            <w:pPr>
              <w:widowControl/>
            </w:pP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77777777" w:rsidR="00F532CE" w:rsidRDefault="00F532CE" w:rsidP="00803884">
            <w:pPr>
              <w:widowControl/>
            </w:pPr>
          </w:p>
        </w:tc>
      </w:tr>
    </w:tbl>
    <w:p w14:paraId="17FA1D07" w14:textId="77777777" w:rsidR="00F532CE" w:rsidRPr="00F532CE" w:rsidRDefault="00F532CE" w:rsidP="00F532CE"/>
    <w:p w14:paraId="2B54FBBD" w14:textId="75CD78EF" w:rsidR="00FA0933" w:rsidRDefault="00FA0933" w:rsidP="00FA0933">
      <w:pPr>
        <w:pStyle w:val="Heading1"/>
        <w:rPr>
          <w:rFonts w:ascii="Times New Roman" w:hAnsi="Times New Roman" w:cs="Times New Roman"/>
        </w:rPr>
      </w:pPr>
      <w:bookmarkStart w:id="4" w:name="_Toc202813809"/>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1000"/>
        <w:gridCol w:w="5323"/>
        <w:gridCol w:w="1320"/>
        <w:gridCol w:w="1060"/>
        <w:gridCol w:w="1797"/>
      </w:tblGrid>
      <w:tr w:rsidR="00F532CE" w:rsidRPr="00D20568" w14:paraId="67CE4D25" w14:textId="77777777" w:rsidTr="00803884">
        <w:trPr>
          <w:trHeight w:val="316"/>
        </w:trPr>
        <w:tc>
          <w:tcPr>
            <w:tcW w:w="10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D20568" w:rsidRDefault="00F532CE" w:rsidP="00803884">
            <w:pPr>
              <w:widowControl/>
            </w:pPr>
            <w:r w:rsidRPr="00D20568">
              <w:rPr>
                <w:b/>
                <w:bCs/>
              </w:rPr>
              <w:t>Sprint</w:t>
            </w:r>
          </w:p>
        </w:tc>
        <w:tc>
          <w:tcPr>
            <w:tcW w:w="53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D20568" w:rsidRDefault="00F532CE" w:rsidP="00803884">
            <w:pPr>
              <w:widowControl/>
            </w:pPr>
            <w:r w:rsidRPr="00D20568">
              <w:rPr>
                <w:b/>
                <w:bCs/>
              </w:rPr>
              <w:t>Task</w:t>
            </w:r>
          </w:p>
        </w:tc>
        <w:tc>
          <w:tcPr>
            <w:tcW w:w="1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D20568" w:rsidRDefault="00F532CE" w:rsidP="00803884">
            <w:pPr>
              <w:widowControl/>
            </w:pPr>
            <w:r w:rsidRPr="00D20568">
              <w:rPr>
                <w:b/>
                <w:bCs/>
              </w:rPr>
              <w:t>Category</w:t>
            </w:r>
          </w:p>
        </w:tc>
        <w:tc>
          <w:tcPr>
            <w:tcW w:w="1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D20568" w:rsidRDefault="00F532CE" w:rsidP="00803884">
            <w:pPr>
              <w:widowControl/>
            </w:pPr>
            <w:r w:rsidRPr="00D20568">
              <w:rPr>
                <w:b/>
                <w:bCs/>
              </w:rPr>
              <w:t>priority</w:t>
            </w:r>
          </w:p>
        </w:tc>
        <w:tc>
          <w:tcPr>
            <w:tcW w:w="179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D20568" w:rsidRDefault="00F532CE" w:rsidP="00803884">
            <w:pPr>
              <w:widowControl/>
            </w:pPr>
            <w:r w:rsidRPr="00D20568">
              <w:rPr>
                <w:b/>
                <w:bCs/>
              </w:rPr>
              <w:t>status</w:t>
            </w:r>
          </w:p>
        </w:tc>
      </w:tr>
      <w:tr w:rsidR="00F532CE" w:rsidRPr="00D20568" w14:paraId="7C868443" w14:textId="77777777" w:rsidTr="00803884">
        <w:trPr>
          <w:trHeight w:val="316"/>
        </w:trPr>
        <w:tc>
          <w:tcPr>
            <w:tcW w:w="10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77777777" w:rsidR="00F532CE" w:rsidRPr="00D20568" w:rsidRDefault="00F532CE" w:rsidP="00803884">
            <w:pPr>
              <w:widowControl/>
            </w:pPr>
            <w:r w:rsidRPr="00D20568">
              <w:t>1</w:t>
            </w:r>
          </w:p>
        </w:tc>
        <w:tc>
          <w:tcPr>
            <w:tcW w:w="53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44BE6B8D" w:rsidR="00F532CE" w:rsidRPr="00D20568" w:rsidRDefault="00F532CE" w:rsidP="00803884">
            <w:pPr>
              <w:widowControl/>
            </w:pPr>
            <w:r w:rsidRPr="00D20568">
              <w:t xml:space="preserve">Uploading data to </w:t>
            </w:r>
            <w:r w:rsidR="00FD5D29">
              <w:rPr>
                <w:rFonts w:hint="eastAsia"/>
              </w:rPr>
              <w:t>R</w:t>
            </w:r>
          </w:p>
        </w:tc>
        <w:tc>
          <w:tcPr>
            <w:tcW w:w="1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5E2B31" w14:textId="77777777" w:rsidR="00F532CE" w:rsidRPr="00D20568" w:rsidRDefault="00F532CE" w:rsidP="00803884">
            <w:pPr>
              <w:widowControl/>
            </w:pPr>
            <w:r w:rsidRPr="00D20568">
              <w:t>DATA</w:t>
            </w:r>
          </w:p>
        </w:tc>
        <w:tc>
          <w:tcPr>
            <w:tcW w:w="1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ABCED7" w14:textId="77777777" w:rsidR="00F532CE" w:rsidRPr="00D20568" w:rsidRDefault="00F532CE" w:rsidP="00803884">
            <w:pPr>
              <w:widowControl/>
            </w:pPr>
            <w:r w:rsidRPr="00D20568">
              <w:t>LOW</w:t>
            </w:r>
          </w:p>
        </w:tc>
        <w:tc>
          <w:tcPr>
            <w:tcW w:w="179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2AF85B" w14:textId="77777777" w:rsidR="00F532CE" w:rsidRPr="00D20568" w:rsidRDefault="00F532CE" w:rsidP="00803884">
            <w:pPr>
              <w:widowControl/>
            </w:pPr>
            <w:r w:rsidRPr="00D20568">
              <w:t>Under Review</w:t>
            </w:r>
          </w:p>
        </w:tc>
      </w:tr>
      <w:tr w:rsidR="00F532CE" w:rsidRPr="00D20568" w14:paraId="71FEA432" w14:textId="77777777" w:rsidTr="00803884">
        <w:trPr>
          <w:trHeight w:val="316"/>
        </w:trPr>
        <w:tc>
          <w:tcPr>
            <w:tcW w:w="10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77777777" w:rsidR="00F532CE" w:rsidRPr="00D20568" w:rsidRDefault="00F532CE" w:rsidP="00803884">
            <w:pPr>
              <w:widowControl/>
            </w:pPr>
            <w:r w:rsidRPr="00D20568">
              <w:t>1</w:t>
            </w:r>
          </w:p>
        </w:tc>
        <w:tc>
          <w:tcPr>
            <w:tcW w:w="53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77777777" w:rsidR="00F532CE" w:rsidRPr="00D20568" w:rsidRDefault="00F532CE" w:rsidP="00803884">
            <w:pPr>
              <w:widowControl/>
            </w:pPr>
            <w:r w:rsidRPr="00D20568">
              <w:t>Data Cleansing</w:t>
            </w:r>
          </w:p>
        </w:tc>
        <w:tc>
          <w:tcPr>
            <w:tcW w:w="13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864715" w14:textId="77777777" w:rsidR="00F532CE" w:rsidRPr="00D20568" w:rsidRDefault="00F532CE" w:rsidP="00803884">
            <w:pPr>
              <w:widowControl/>
            </w:pPr>
            <w:r w:rsidRPr="00D20568">
              <w:t>DATA</w:t>
            </w:r>
          </w:p>
        </w:tc>
        <w:tc>
          <w:tcPr>
            <w:tcW w:w="1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61A4B4" w14:textId="77777777" w:rsidR="00F532CE" w:rsidRPr="00D20568" w:rsidRDefault="00F532CE" w:rsidP="00803884">
            <w:pPr>
              <w:widowControl/>
            </w:pPr>
            <w:r w:rsidRPr="00D20568">
              <w:t>HIGH</w:t>
            </w:r>
          </w:p>
        </w:tc>
        <w:tc>
          <w:tcPr>
            <w:tcW w:w="179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F87072" w14:textId="77777777" w:rsidR="00F532CE" w:rsidRPr="00D20568" w:rsidRDefault="00F532CE" w:rsidP="00803884">
            <w:pPr>
              <w:widowControl/>
            </w:pPr>
            <w:r w:rsidRPr="00D20568">
              <w:t>Under Review</w:t>
            </w:r>
          </w:p>
        </w:tc>
      </w:tr>
      <w:tr w:rsidR="00F532CE" w:rsidRPr="00D20568" w14:paraId="7333EFC9" w14:textId="77777777" w:rsidTr="00803884">
        <w:trPr>
          <w:trHeight w:val="419"/>
        </w:trPr>
        <w:tc>
          <w:tcPr>
            <w:tcW w:w="10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77777777" w:rsidR="00F532CE" w:rsidRPr="00D20568" w:rsidRDefault="00F532CE" w:rsidP="00803884">
            <w:pPr>
              <w:widowControl/>
            </w:pPr>
            <w:r w:rsidRPr="00D20568">
              <w:t>2</w:t>
            </w:r>
          </w:p>
        </w:tc>
        <w:tc>
          <w:tcPr>
            <w:tcW w:w="53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35D26DBA" w:rsidR="00F532CE" w:rsidRPr="00D20568" w:rsidRDefault="00F532CE" w:rsidP="00803884">
            <w:pPr>
              <w:widowControl/>
            </w:pPr>
            <w:r w:rsidRPr="00D20568">
              <w:t xml:space="preserve">Relationship between price and </w:t>
            </w:r>
            <w:r w:rsidR="00721A5E" w:rsidRPr="00D20568">
              <w:t>bedroom</w:t>
            </w:r>
            <w:r w:rsidRPr="00D20568">
              <w:t xml:space="preserve"> </w:t>
            </w:r>
            <w:r w:rsidR="00721A5E" w:rsidRPr="00D20568">
              <w:t>numbers</w:t>
            </w:r>
          </w:p>
        </w:tc>
        <w:tc>
          <w:tcPr>
            <w:tcW w:w="13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D0CD41" w14:textId="77777777" w:rsidR="00F532CE" w:rsidRPr="00D20568" w:rsidRDefault="00F532CE" w:rsidP="00803884">
            <w:pPr>
              <w:widowControl/>
            </w:pPr>
            <w:r w:rsidRPr="00D20568">
              <w:t>Modelling</w:t>
            </w:r>
          </w:p>
        </w:tc>
        <w:tc>
          <w:tcPr>
            <w:tcW w:w="1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5F001D" w14:textId="77777777" w:rsidR="00F532CE" w:rsidRPr="00D20568" w:rsidRDefault="00F532CE" w:rsidP="00803884">
            <w:pPr>
              <w:widowControl/>
            </w:pPr>
            <w:r w:rsidRPr="00D20568">
              <w:t>Middle</w:t>
            </w:r>
          </w:p>
        </w:tc>
        <w:tc>
          <w:tcPr>
            <w:tcW w:w="179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946001" w14:textId="14E2F990" w:rsidR="00F532CE" w:rsidRPr="00D20568" w:rsidRDefault="00721A5E" w:rsidP="00803884">
            <w:pPr>
              <w:widowControl/>
            </w:pPr>
            <w:r w:rsidRPr="00D20568">
              <w:t>Committed</w:t>
            </w:r>
          </w:p>
        </w:tc>
      </w:tr>
    </w:tbl>
    <w:p w14:paraId="4321714B" w14:textId="77777777" w:rsidR="00F532CE" w:rsidRPr="00F532CE" w:rsidRDefault="00F532CE" w:rsidP="00F532CE"/>
    <w:p w14:paraId="6F682991" w14:textId="596FA352" w:rsidR="00FA0933" w:rsidRDefault="00FA0933" w:rsidP="00FA0933">
      <w:pPr>
        <w:pStyle w:val="Heading1"/>
        <w:rPr>
          <w:rFonts w:ascii="Times New Roman" w:hAnsi="Times New Roman" w:cs="Times New Roman"/>
        </w:rPr>
      </w:pPr>
      <w:bookmarkStart w:id="5" w:name="_Toc202813810"/>
      <w:r w:rsidRPr="00FA0933">
        <w:rPr>
          <w:rFonts w:ascii="Times New Roman" w:hAnsi="Times New Roman" w:cs="Times New Roman"/>
        </w:rPr>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br w:type="page"/>
      </w:r>
    </w:p>
    <w:p w14:paraId="0BE69C95" w14:textId="67DEEC16" w:rsidR="00F81681" w:rsidRPr="00FA0933" w:rsidRDefault="00A3482C" w:rsidP="00E032B7">
      <w:pPr>
        <w:pStyle w:val="Heading1"/>
        <w:spacing w:before="120" w:after="120"/>
        <w:jc w:val="both"/>
        <w:rPr>
          <w:rFonts w:ascii="Times New Roman" w:hAnsi="Times New Roman" w:cs="Times New Roman"/>
        </w:rPr>
      </w:pPr>
      <w:bookmarkStart w:id="6" w:name="_Toc202813811"/>
      <w:r>
        <w:rPr>
          <w:noProof/>
        </w:rPr>
        <w:lastRenderedPageBreak/>
        <w:drawing>
          <wp:anchor distT="0" distB="0" distL="114300" distR="114300" simplePos="0" relativeHeight="251662336" behindDoc="1" locked="0" layoutInCell="1" allowOverlap="1" wp14:anchorId="1822E551" wp14:editId="21E4E728">
            <wp:simplePos x="0" y="0"/>
            <wp:positionH relativeFrom="column">
              <wp:posOffset>876300</wp:posOffset>
            </wp:positionH>
            <wp:positionV relativeFrom="paragraph">
              <wp:posOffset>752475</wp:posOffset>
            </wp:positionV>
            <wp:extent cx="3645087" cy="2660787"/>
            <wp:effectExtent l="0" t="0" r="0" b="6350"/>
            <wp:wrapNone/>
            <wp:docPr id="153996005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052" name="Picture 1" descr="A pie chart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45087" cy="2660787"/>
                    </a:xfrm>
                    <a:prstGeom prst="rect">
                      <a:avLst/>
                    </a:prstGeom>
                  </pic:spPr>
                </pic:pic>
              </a:graphicData>
            </a:graphic>
          </wp:anchor>
        </w:drawing>
      </w:r>
      <w:r w:rsidR="002A6624" w:rsidRPr="00FA0933">
        <w:rPr>
          <w:rFonts w:ascii="Times New Roman" w:hAnsi="Times New Roman" w:cs="Times New Roman"/>
        </w:rPr>
        <w:t>Evaluation</w:t>
      </w:r>
      <w:bookmarkEnd w:id="6"/>
    </w:p>
    <w:p w14:paraId="474EF820" w14:textId="2561C48D" w:rsidR="002A6624" w:rsidRDefault="002A6624" w:rsidP="00E032B7">
      <w:pPr>
        <w:pStyle w:val="ListParagraph"/>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of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education background</w:t>
      </w:r>
    </w:p>
    <w:p w14:paraId="2A2AE271" w14:textId="3576815B" w:rsidR="00A3482C" w:rsidRDefault="00A3482C" w:rsidP="00A3482C">
      <w:pPr>
        <w:pStyle w:val="ListParagraph"/>
        <w:spacing w:before="120" w:after="120" w:line="0" w:lineRule="atLeast"/>
        <w:ind w:leftChars="0"/>
        <w:jc w:val="both"/>
        <w:rPr>
          <w:rFonts w:ascii="Times New Roman" w:eastAsiaTheme="majorEastAsia" w:hAnsi="Times New Roman" w:cs="Times New Roman"/>
          <w:sz w:val="28"/>
          <w:szCs w:val="28"/>
        </w:rPr>
      </w:pPr>
    </w:p>
    <w:p w14:paraId="4172CACE" w14:textId="19803E33" w:rsidR="00A3482C" w:rsidRPr="00FA0933" w:rsidRDefault="00A3482C" w:rsidP="00A3482C">
      <w:pPr>
        <w:pStyle w:val="ListParagraph"/>
        <w:spacing w:before="120" w:after="120" w:line="0" w:lineRule="atLeast"/>
        <w:ind w:leftChars="0"/>
        <w:jc w:val="center"/>
        <w:rPr>
          <w:rFonts w:ascii="Times New Roman" w:eastAsiaTheme="majorEastAsia" w:hAnsi="Times New Roman" w:cs="Times New Roman"/>
          <w:sz w:val="28"/>
          <w:szCs w:val="28"/>
        </w:rPr>
      </w:pPr>
    </w:p>
    <w:p w14:paraId="112C5C1B" w14:textId="77777777" w:rsidR="00A3482C" w:rsidRDefault="00A3482C" w:rsidP="002A724F">
      <w:pPr>
        <w:pStyle w:val="NormalWeb"/>
        <w:ind w:left="480"/>
        <w:jc w:val="both"/>
        <w:rPr>
          <w:sz w:val="28"/>
          <w:szCs w:val="28"/>
        </w:rPr>
      </w:pPr>
    </w:p>
    <w:p w14:paraId="4F5AFDC1" w14:textId="77777777" w:rsidR="00A3482C" w:rsidRDefault="00A3482C" w:rsidP="002A724F">
      <w:pPr>
        <w:pStyle w:val="NormalWeb"/>
        <w:ind w:left="480"/>
        <w:jc w:val="both"/>
        <w:rPr>
          <w:sz w:val="28"/>
          <w:szCs w:val="28"/>
        </w:rPr>
      </w:pPr>
    </w:p>
    <w:p w14:paraId="6E05F395" w14:textId="77777777" w:rsidR="00A3482C" w:rsidRDefault="00A3482C" w:rsidP="002A724F">
      <w:pPr>
        <w:pStyle w:val="NormalWeb"/>
        <w:ind w:left="480"/>
        <w:jc w:val="both"/>
        <w:rPr>
          <w:sz w:val="28"/>
          <w:szCs w:val="28"/>
        </w:rPr>
      </w:pPr>
    </w:p>
    <w:p w14:paraId="23C00D57" w14:textId="70C5C43B" w:rsidR="002A724F" w:rsidRDefault="002A724F" w:rsidP="002A724F">
      <w:pPr>
        <w:pStyle w:val="NormalWeb"/>
        <w:ind w:left="480"/>
        <w:jc w:val="both"/>
        <w:rPr>
          <w:sz w:val="28"/>
          <w:szCs w:val="28"/>
        </w:rPr>
      </w:pPr>
      <w:r w:rsidRPr="002A724F">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Default="002A724F" w:rsidP="002A724F">
      <w:pPr>
        <w:pStyle w:val="NormalWeb"/>
        <w:ind w:left="480"/>
        <w:jc w:val="both"/>
        <w:rPr>
          <w:sz w:val="28"/>
          <w:szCs w:val="28"/>
        </w:rPr>
      </w:pPr>
      <w:r w:rsidRPr="002A724F">
        <w:rPr>
          <w:sz w:val="28"/>
          <w:szCs w:val="28"/>
        </w:rPr>
        <w:t>For the bank, this means:</w:t>
      </w:r>
    </w:p>
    <w:p w14:paraId="1AB08ECB" w14:textId="77777777" w:rsidR="002A724F" w:rsidRDefault="002A724F" w:rsidP="002A724F">
      <w:pPr>
        <w:pStyle w:val="NormalWeb"/>
        <w:numPr>
          <w:ilvl w:val="0"/>
          <w:numId w:val="10"/>
        </w:numPr>
        <w:jc w:val="both"/>
        <w:rPr>
          <w:sz w:val="28"/>
          <w:szCs w:val="28"/>
        </w:rPr>
      </w:pPr>
      <w:r w:rsidRPr="002A724F">
        <w:rPr>
          <w:sz w:val="28"/>
          <w:szCs w:val="28"/>
        </w:rPr>
        <w:t>Target premium products and loyalty rewards at graduates, who both carry higher limits and present lower default risk.</w:t>
      </w:r>
    </w:p>
    <w:p w14:paraId="5599203D" w14:textId="0DCFE34E" w:rsidR="002A724F" w:rsidRPr="002A724F" w:rsidRDefault="002A724F" w:rsidP="002A724F">
      <w:pPr>
        <w:pStyle w:val="NormalWeb"/>
        <w:numPr>
          <w:ilvl w:val="0"/>
          <w:numId w:val="10"/>
        </w:numPr>
        <w:jc w:val="both"/>
        <w:rPr>
          <w:sz w:val="28"/>
          <w:szCs w:val="28"/>
        </w:rPr>
      </w:pPr>
      <w:r w:rsidRPr="002A724F">
        <w:rPr>
          <w:sz w:val="28"/>
          <w:szCs w:val="28"/>
        </w:rPr>
        <w:t>Offer tailored financial-literacy tools or simplified credit-management features for lower-education segments to reduce over-utilization and late payments.</w:t>
      </w:r>
    </w:p>
    <w:p w14:paraId="67485F53" w14:textId="30B18D62" w:rsidR="005D7409" w:rsidRPr="005D7409" w:rsidRDefault="005D7409" w:rsidP="00E032B7">
      <w:pPr>
        <w:pStyle w:val="NormalWeb"/>
        <w:spacing w:after="0" w:afterAutospacing="0"/>
        <w:ind w:left="480"/>
        <w:jc w:val="both"/>
        <w:rPr>
          <w:sz w:val="28"/>
          <w:szCs w:val="28"/>
        </w:rPr>
      </w:pPr>
      <w:r w:rsidRPr="005D7409">
        <w:rPr>
          <w:sz w:val="28"/>
          <w:szCs w:val="28"/>
        </w:rPr>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p w14:paraId="3D2C7EE2" w14:textId="2CE08BAE" w:rsidR="00A229DD" w:rsidRPr="00FA0933" w:rsidRDefault="002A6624" w:rsidP="00E032B7">
      <w:pPr>
        <w:pStyle w:val="ListParagraph"/>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56F5A9AD" w14:textId="77777777" w:rsidR="00801277" w:rsidRPr="00801277" w:rsidRDefault="00801277" w:rsidP="00801277">
      <w:pPr>
        <w:pStyle w:val="NormalWeb"/>
        <w:ind w:left="480"/>
        <w:jc w:val="both"/>
        <w:rPr>
          <w:sz w:val="28"/>
          <w:szCs w:val="28"/>
        </w:rPr>
      </w:pPr>
      <w:r w:rsidRPr="00801277">
        <w:rPr>
          <w:sz w:val="28"/>
          <w:szCs w:val="28"/>
        </w:rPr>
        <w:t xml:space="preserve">DSAI Bank encountered a group of customers who didn’t provide their income information, making it difficult to categorize them properly. </w:t>
      </w:r>
      <w:r w:rsidRPr="00801277">
        <w:rPr>
          <w:sz w:val="28"/>
          <w:szCs w:val="28"/>
        </w:rPr>
        <w:lastRenderedPageBreak/>
        <w:t xml:space="preserve">To estimate their likely income range, we used their </w:t>
      </w:r>
      <w:r w:rsidRPr="00801277">
        <w:rPr>
          <w:b/>
          <w:bCs/>
          <w:sz w:val="28"/>
          <w:szCs w:val="28"/>
        </w:rPr>
        <w:t>average open-to-buy amount</w:t>
      </w:r>
      <w:r w:rsidRPr="00801277">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Default="00801277" w:rsidP="00801277">
      <w:pPr>
        <w:pStyle w:val="NormalWeb"/>
        <w:ind w:left="480"/>
        <w:jc w:val="both"/>
        <w:rPr>
          <w:sz w:val="28"/>
          <w:szCs w:val="28"/>
        </w:rPr>
      </w:pPr>
      <w:r w:rsidRPr="00801277">
        <w:rPr>
          <w:sz w:val="28"/>
          <w:szCs w:val="28"/>
        </w:rPr>
        <w:t xml:space="preserve">The average open-to-buy for customers marked “Unknown” is </w:t>
      </w:r>
      <w:r w:rsidRPr="00801277">
        <w:rPr>
          <w:b/>
          <w:bCs/>
          <w:sz w:val="28"/>
          <w:szCs w:val="28"/>
        </w:rPr>
        <w:t>$8,401.52</w:t>
      </w:r>
      <w:r w:rsidRPr="00801277">
        <w:rPr>
          <w:sz w:val="28"/>
          <w:szCs w:val="28"/>
        </w:rPr>
        <w:t>. When compared to known income brackets:</w:t>
      </w:r>
    </w:p>
    <w:p w14:paraId="46E43827" w14:textId="77777777" w:rsidR="00801277" w:rsidRDefault="00801277" w:rsidP="00801277">
      <w:pPr>
        <w:pStyle w:val="NormalWeb"/>
        <w:numPr>
          <w:ilvl w:val="0"/>
          <w:numId w:val="18"/>
        </w:numPr>
        <w:jc w:val="both"/>
        <w:rPr>
          <w:sz w:val="28"/>
          <w:szCs w:val="28"/>
        </w:rPr>
      </w:pPr>
      <w:r w:rsidRPr="00801277">
        <w:rPr>
          <w:sz w:val="28"/>
          <w:szCs w:val="28"/>
        </w:rPr>
        <w:t xml:space="preserve">Customers earning </w:t>
      </w:r>
      <w:r w:rsidRPr="00801277">
        <w:rPr>
          <w:b/>
          <w:bCs/>
          <w:sz w:val="28"/>
          <w:szCs w:val="28"/>
        </w:rPr>
        <w:t>$40K–$60K</w:t>
      </w:r>
      <w:r w:rsidRPr="00801277">
        <w:rPr>
          <w:sz w:val="28"/>
          <w:szCs w:val="28"/>
        </w:rPr>
        <w:t xml:space="preserve"> have an average open-to-buy of </w:t>
      </w:r>
      <w:r w:rsidRPr="00801277">
        <w:rPr>
          <w:b/>
          <w:bCs/>
          <w:sz w:val="28"/>
          <w:szCs w:val="28"/>
        </w:rPr>
        <w:t>$4,290.27</w:t>
      </w:r>
    </w:p>
    <w:p w14:paraId="748D3588" w14:textId="77777777" w:rsidR="00801277" w:rsidRDefault="00801277" w:rsidP="00801277">
      <w:pPr>
        <w:pStyle w:val="NormalWeb"/>
        <w:numPr>
          <w:ilvl w:val="0"/>
          <w:numId w:val="18"/>
        </w:numPr>
        <w:jc w:val="both"/>
        <w:rPr>
          <w:sz w:val="28"/>
          <w:szCs w:val="28"/>
        </w:rPr>
      </w:pPr>
      <w:r w:rsidRPr="00801277">
        <w:rPr>
          <w:sz w:val="28"/>
          <w:szCs w:val="28"/>
        </w:rPr>
        <w:t xml:space="preserve">Those in the </w:t>
      </w:r>
      <w:r w:rsidRPr="00801277">
        <w:rPr>
          <w:b/>
          <w:bCs/>
          <w:sz w:val="28"/>
          <w:szCs w:val="28"/>
        </w:rPr>
        <w:t>$60K–$80K</w:t>
      </w:r>
      <w:r w:rsidRPr="00801277">
        <w:rPr>
          <w:sz w:val="28"/>
          <w:szCs w:val="28"/>
        </w:rPr>
        <w:t xml:space="preserve"> group average </w:t>
      </w:r>
      <w:r w:rsidRPr="00801277">
        <w:rPr>
          <w:b/>
          <w:bCs/>
          <w:sz w:val="28"/>
          <w:szCs w:val="28"/>
        </w:rPr>
        <w:t>$9,603.78</w:t>
      </w:r>
    </w:p>
    <w:p w14:paraId="30C0D6D2" w14:textId="77777777" w:rsidR="00801277" w:rsidRDefault="00801277" w:rsidP="00801277">
      <w:pPr>
        <w:pStyle w:val="NormalWeb"/>
        <w:numPr>
          <w:ilvl w:val="0"/>
          <w:numId w:val="18"/>
        </w:numPr>
        <w:jc w:val="both"/>
        <w:rPr>
          <w:sz w:val="28"/>
          <w:szCs w:val="28"/>
        </w:rPr>
      </w:pPr>
      <w:r w:rsidRPr="00801277">
        <w:rPr>
          <w:sz w:val="28"/>
          <w:szCs w:val="28"/>
        </w:rPr>
        <w:t>Higher-income customers (above $80K) show even larger values</w:t>
      </w:r>
    </w:p>
    <w:p w14:paraId="3663D9B2" w14:textId="7864092C" w:rsidR="00801277" w:rsidRPr="00801277" w:rsidRDefault="00801277" w:rsidP="00801277">
      <w:pPr>
        <w:pStyle w:val="NormalWeb"/>
        <w:numPr>
          <w:ilvl w:val="0"/>
          <w:numId w:val="18"/>
        </w:numPr>
        <w:jc w:val="both"/>
        <w:rPr>
          <w:sz w:val="28"/>
          <w:szCs w:val="28"/>
        </w:rPr>
      </w:pPr>
      <w:r w:rsidRPr="00801277">
        <w:rPr>
          <w:sz w:val="28"/>
          <w:szCs w:val="28"/>
        </w:rPr>
        <w:t>Lower-income groups fall much further below</w:t>
      </w:r>
    </w:p>
    <w:p w14:paraId="2FA3483F" w14:textId="77777777" w:rsidR="00801277" w:rsidRPr="00801277" w:rsidRDefault="00801277" w:rsidP="00801277">
      <w:pPr>
        <w:pStyle w:val="NormalWeb"/>
        <w:ind w:left="480"/>
        <w:jc w:val="both"/>
        <w:rPr>
          <w:sz w:val="28"/>
          <w:szCs w:val="28"/>
        </w:rPr>
      </w:pPr>
      <w:r w:rsidRPr="00801277">
        <w:rPr>
          <w:sz w:val="28"/>
          <w:szCs w:val="28"/>
        </w:rPr>
        <w:t xml:space="preserve">The value for “Unknown” customers is much closer to the </w:t>
      </w:r>
      <w:r w:rsidRPr="00801277">
        <w:rPr>
          <w:b/>
          <w:bCs/>
          <w:sz w:val="28"/>
          <w:szCs w:val="28"/>
        </w:rPr>
        <w:t>$60K–$80K</w:t>
      </w:r>
      <w:r w:rsidRPr="00801277">
        <w:rPr>
          <w:sz w:val="28"/>
          <w:szCs w:val="28"/>
        </w:rPr>
        <w:t xml:space="preserve"> bracket and far above lower-income groups. This makes it reasonable to assume that these individuals likely fall within the </w:t>
      </w:r>
      <w:r w:rsidRPr="00801277">
        <w:rPr>
          <w:b/>
          <w:bCs/>
          <w:sz w:val="28"/>
          <w:szCs w:val="28"/>
        </w:rPr>
        <w:t>middle-income range</w:t>
      </w:r>
      <w:r w:rsidRPr="00801277">
        <w:rPr>
          <w:sz w:val="28"/>
          <w:szCs w:val="28"/>
        </w:rPr>
        <w:t xml:space="preserve"> of $60K–$80K. Their credit behavior supports this conclusion, allowing the bank to assign them fairly without needing direct income data.</w:t>
      </w:r>
    </w:p>
    <w:p w14:paraId="1A6325AA" w14:textId="543BD8D2" w:rsidR="00F81681" w:rsidRPr="00FA0933" w:rsidRDefault="00A3482C" w:rsidP="00E032B7">
      <w:pPr>
        <w:pStyle w:val="ListParagraph"/>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1A9F985B" wp14:editId="1A8FE4EB">
            <wp:simplePos x="0" y="0"/>
            <wp:positionH relativeFrom="column">
              <wp:posOffset>304800</wp:posOffset>
            </wp:positionH>
            <wp:positionV relativeFrom="paragraph">
              <wp:posOffset>384175</wp:posOffset>
            </wp:positionV>
            <wp:extent cx="4743450" cy="2752725"/>
            <wp:effectExtent l="0" t="0" r="0" b="9525"/>
            <wp:wrapNone/>
            <wp:docPr id="98016344" name="Picture 1" descr="A graph showing a number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344" name="Picture 1" descr="A graph showing a number of black dots&#10;&#10;AI-generated content may be incorrect."/>
                    <pic:cNvPicPr/>
                  </pic:nvPicPr>
                  <pic:blipFill rotWithShape="1">
                    <a:blip r:embed="rId13">
                      <a:extLst>
                        <a:ext uri="{28A0092B-C50C-407E-A947-70E740481C1C}">
                          <a14:useLocalDpi xmlns:a14="http://schemas.microsoft.com/office/drawing/2010/main" val="0"/>
                        </a:ext>
                      </a:extLst>
                    </a:blip>
                    <a:srcRect l="975" t="7247" r="2013" b="1681"/>
                    <a:stretch>
                      <a:fillRect/>
                    </a:stretch>
                  </pic:blipFill>
                  <pic:spPr bwMode="auto">
                    <a:xfrm>
                      <a:off x="0" y="0"/>
                      <a:ext cx="47434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624"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002A6624" w:rsidRPr="00FA0933">
        <w:rPr>
          <w:rFonts w:ascii="Times New Roman" w:hAnsi="Times New Roman" w:cs="Times New Roman"/>
          <w:sz w:val="28"/>
          <w:szCs w:val="28"/>
        </w:rPr>
        <w:t xml:space="preserve"> pattern</w:t>
      </w:r>
    </w:p>
    <w:p w14:paraId="328E0DB8" w14:textId="1EC059A5" w:rsidR="00FA46E5" w:rsidRDefault="00FA46E5" w:rsidP="00E032B7">
      <w:pPr>
        <w:ind w:left="480"/>
        <w:jc w:val="both"/>
        <w:rPr>
          <w:rFonts w:ascii="Times New Roman" w:hAnsi="Times New Roman" w:cs="Times New Roman"/>
          <w:sz w:val="28"/>
          <w:szCs w:val="28"/>
        </w:rPr>
      </w:pPr>
    </w:p>
    <w:p w14:paraId="4682FFC5" w14:textId="47D0814E" w:rsidR="00A3482C" w:rsidRDefault="00A3482C" w:rsidP="00A3482C">
      <w:pPr>
        <w:spacing w:after="240"/>
        <w:ind w:left="480"/>
        <w:jc w:val="center"/>
        <w:rPr>
          <w:sz w:val="28"/>
          <w:szCs w:val="28"/>
        </w:rPr>
      </w:pPr>
    </w:p>
    <w:p w14:paraId="085BDF33" w14:textId="77777777" w:rsidR="00A3482C" w:rsidRDefault="00A3482C" w:rsidP="002A724F">
      <w:pPr>
        <w:spacing w:after="240"/>
        <w:ind w:left="480"/>
        <w:jc w:val="both"/>
        <w:rPr>
          <w:sz w:val="28"/>
          <w:szCs w:val="28"/>
        </w:rPr>
      </w:pPr>
    </w:p>
    <w:p w14:paraId="3912A062" w14:textId="77777777" w:rsidR="00A3482C" w:rsidRDefault="00A3482C" w:rsidP="002A724F">
      <w:pPr>
        <w:spacing w:after="240"/>
        <w:ind w:left="480"/>
        <w:jc w:val="both"/>
        <w:rPr>
          <w:sz w:val="28"/>
          <w:szCs w:val="28"/>
        </w:rPr>
      </w:pPr>
    </w:p>
    <w:p w14:paraId="7A7362E0" w14:textId="77777777" w:rsidR="00A3482C" w:rsidRDefault="00A3482C" w:rsidP="002A724F">
      <w:pPr>
        <w:spacing w:after="240"/>
        <w:ind w:left="480"/>
        <w:jc w:val="both"/>
        <w:rPr>
          <w:sz w:val="28"/>
          <w:szCs w:val="28"/>
        </w:rPr>
      </w:pPr>
    </w:p>
    <w:p w14:paraId="545DB758" w14:textId="77777777" w:rsidR="00A3482C" w:rsidRDefault="00A3482C" w:rsidP="002A724F">
      <w:pPr>
        <w:spacing w:after="240"/>
        <w:ind w:left="480"/>
        <w:jc w:val="both"/>
        <w:rPr>
          <w:sz w:val="28"/>
          <w:szCs w:val="28"/>
        </w:rPr>
      </w:pPr>
    </w:p>
    <w:p w14:paraId="4678F873" w14:textId="77777777" w:rsidR="00A3482C" w:rsidRDefault="00A3482C" w:rsidP="002A724F">
      <w:pPr>
        <w:spacing w:after="240"/>
        <w:ind w:left="480"/>
        <w:jc w:val="both"/>
        <w:rPr>
          <w:sz w:val="28"/>
          <w:szCs w:val="28"/>
        </w:rPr>
      </w:pPr>
    </w:p>
    <w:p w14:paraId="10427B78" w14:textId="77777777" w:rsidR="00A3482C" w:rsidRDefault="00A3482C" w:rsidP="00A3482C">
      <w:pPr>
        <w:ind w:left="480"/>
        <w:jc w:val="both"/>
        <w:rPr>
          <w:sz w:val="28"/>
          <w:szCs w:val="28"/>
        </w:rPr>
      </w:pPr>
    </w:p>
    <w:p w14:paraId="6F3968F6" w14:textId="5B16AEF3" w:rsidR="002A724F" w:rsidRPr="002A724F" w:rsidRDefault="002A724F" w:rsidP="002A724F">
      <w:pPr>
        <w:spacing w:after="240"/>
        <w:ind w:left="480"/>
        <w:jc w:val="both"/>
        <w:rPr>
          <w:sz w:val="28"/>
          <w:szCs w:val="28"/>
        </w:rPr>
      </w:pPr>
      <w:r w:rsidRPr="002A724F">
        <w:rPr>
          <w:sz w:val="28"/>
          <w:szCs w:val="28"/>
        </w:rPr>
        <w:t xml:space="preserve">We plotted each customer’s total transaction amount against their total transaction count and fitted a linear regression (R²=0.65). The scatter shows a clear, positive correlation—customers who spend </w:t>
      </w:r>
      <w:r w:rsidRPr="002A724F">
        <w:rPr>
          <w:sz w:val="28"/>
          <w:szCs w:val="28"/>
        </w:rPr>
        <w:lastRenderedPageBreak/>
        <w:t>more tend to transact more often—but also three visible clusters:</w:t>
      </w:r>
    </w:p>
    <w:p w14:paraId="02475D0C"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Low-count/low-spend: occasional users making few, small purchases</w:t>
      </w:r>
    </w:p>
    <w:p w14:paraId="002E943B"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Mid-count/mid-spend: steady users with moderate transaction habits</w:t>
      </w:r>
    </w:p>
    <w:p w14:paraId="6F32C254" w14:textId="6D375E6E" w:rsidR="002A724F" w:rsidRPr="002A724F" w:rsidRDefault="002A724F" w:rsidP="002A724F">
      <w:pPr>
        <w:pStyle w:val="ListParagraph"/>
        <w:numPr>
          <w:ilvl w:val="0"/>
          <w:numId w:val="12"/>
        </w:numPr>
        <w:spacing w:after="240"/>
        <w:ind w:leftChars="0"/>
        <w:jc w:val="both"/>
        <w:rPr>
          <w:sz w:val="28"/>
          <w:szCs w:val="28"/>
        </w:rPr>
      </w:pPr>
      <w:r w:rsidRPr="002A724F">
        <w:rPr>
          <w:rFonts w:ascii="Times New Roman" w:hAnsi="Times New Roman" w:cs="Times New Roman"/>
          <w:sz w:val="28"/>
          <w:szCs w:val="28"/>
          <w:lang w:val="en-HK"/>
        </w:rPr>
        <w:t>High-count/high-spend: “power users” whose frequent small purchases drive large totals</w:t>
      </w:r>
    </w:p>
    <w:p w14:paraId="0B5B0204" w14:textId="21DCD96F" w:rsidR="00FA46E5" w:rsidRPr="0063030C" w:rsidRDefault="002A724F" w:rsidP="0063030C">
      <w:pPr>
        <w:spacing w:after="240"/>
        <w:ind w:left="480"/>
        <w:jc w:val="both"/>
        <w:rPr>
          <w:rFonts w:ascii="Times New Roman" w:hAnsi="Times New Roman" w:cs="Times New Roman"/>
          <w:sz w:val="28"/>
          <w:szCs w:val="28"/>
          <w:lang w:val="en-HK"/>
        </w:rPr>
      </w:pPr>
      <w:r>
        <w:rPr>
          <w:rFonts w:ascii="Times New Roman" w:hAnsi="Times New Roman" w:cs="Times New Roman"/>
          <w:sz w:val="28"/>
          <w:szCs w:val="28"/>
          <w:lang w:val="en-HK"/>
        </w:rPr>
        <w:t>We think that</w:t>
      </w:r>
      <w:r w:rsidR="0063030C">
        <w:rPr>
          <w:rFonts w:ascii="Times New Roman" w:hAnsi="Times New Roman" w:cs="Times New Roman"/>
          <w:sz w:val="28"/>
          <w:szCs w:val="28"/>
          <w:lang w:val="en-HK"/>
        </w:rPr>
        <w:t xml:space="preserve"> the</w:t>
      </w:r>
      <w:r w:rsidRPr="002A724F">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41B46FC2" w14:textId="4F8D79F6" w:rsidR="002A6624" w:rsidRPr="00FA0933" w:rsidRDefault="00A3482C" w:rsidP="00E032B7">
      <w:pPr>
        <w:pStyle w:val="ListParagraph"/>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363E7872" wp14:editId="047269E3">
            <wp:simplePos x="0" y="0"/>
            <wp:positionH relativeFrom="column">
              <wp:posOffset>352994</wp:posOffset>
            </wp:positionH>
            <wp:positionV relativeFrom="paragraph">
              <wp:posOffset>406252</wp:posOffset>
            </wp:positionV>
            <wp:extent cx="4807197" cy="2908449"/>
            <wp:effectExtent l="0" t="0" r="0" b="6350"/>
            <wp:wrapNone/>
            <wp:docPr id="188826151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1519" name="Picture 1" descr="A diagram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807197" cy="2908449"/>
                    </a:xfrm>
                    <a:prstGeom prst="rect">
                      <a:avLst/>
                    </a:prstGeom>
                  </pic:spPr>
                </pic:pic>
              </a:graphicData>
            </a:graphic>
          </wp:anchor>
        </w:drawing>
      </w:r>
      <w:r w:rsidR="002A6624"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002A6624" w:rsidRPr="00FA0933">
        <w:rPr>
          <w:rFonts w:ascii="Times New Roman" w:hAnsi="Times New Roman" w:cs="Times New Roman"/>
          <w:sz w:val="28"/>
          <w:szCs w:val="28"/>
        </w:rPr>
        <w:t xml:space="preserve"> raise one insight regards to customer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w:t>
      </w:r>
    </w:p>
    <w:p w14:paraId="5093FACC" w14:textId="58A1D484" w:rsidR="002A6624" w:rsidRDefault="002A6624" w:rsidP="00E032B7">
      <w:pPr>
        <w:ind w:left="480"/>
        <w:jc w:val="both"/>
        <w:rPr>
          <w:rFonts w:ascii="Times New Roman" w:hAnsi="Times New Roman" w:cs="Times New Roman"/>
          <w:sz w:val="28"/>
          <w:szCs w:val="28"/>
        </w:rPr>
      </w:pPr>
    </w:p>
    <w:p w14:paraId="09EA1C30" w14:textId="2D98875B" w:rsidR="00A3482C" w:rsidRDefault="00A3482C" w:rsidP="00A3482C">
      <w:pPr>
        <w:ind w:left="480"/>
        <w:jc w:val="center"/>
        <w:rPr>
          <w:rFonts w:ascii="Times New Roman" w:hAnsi="Times New Roman" w:cs="Times New Roman"/>
          <w:sz w:val="28"/>
          <w:szCs w:val="28"/>
        </w:rPr>
      </w:pPr>
    </w:p>
    <w:p w14:paraId="03B47F22" w14:textId="77777777" w:rsidR="00A3482C" w:rsidRDefault="00A3482C" w:rsidP="00197837">
      <w:pPr>
        <w:ind w:left="480"/>
        <w:jc w:val="both"/>
        <w:rPr>
          <w:sz w:val="28"/>
          <w:szCs w:val="28"/>
        </w:rPr>
      </w:pPr>
    </w:p>
    <w:p w14:paraId="0145A0EC" w14:textId="77777777" w:rsidR="00A3482C" w:rsidRDefault="00A3482C" w:rsidP="00197837">
      <w:pPr>
        <w:ind w:left="480"/>
        <w:jc w:val="both"/>
        <w:rPr>
          <w:sz w:val="28"/>
          <w:szCs w:val="28"/>
        </w:rPr>
      </w:pPr>
    </w:p>
    <w:p w14:paraId="66150831" w14:textId="77777777" w:rsidR="00A3482C" w:rsidRDefault="00A3482C" w:rsidP="00197837">
      <w:pPr>
        <w:ind w:left="480"/>
        <w:jc w:val="both"/>
        <w:rPr>
          <w:sz w:val="28"/>
          <w:szCs w:val="28"/>
        </w:rPr>
      </w:pPr>
    </w:p>
    <w:p w14:paraId="197F53F9" w14:textId="77777777" w:rsidR="00A3482C" w:rsidRDefault="00A3482C" w:rsidP="00197837">
      <w:pPr>
        <w:ind w:left="480"/>
        <w:jc w:val="both"/>
        <w:rPr>
          <w:sz w:val="28"/>
          <w:szCs w:val="28"/>
        </w:rPr>
      </w:pPr>
    </w:p>
    <w:p w14:paraId="5C2697D2" w14:textId="77777777" w:rsidR="00A3482C" w:rsidRDefault="00A3482C" w:rsidP="00197837">
      <w:pPr>
        <w:ind w:left="480"/>
        <w:jc w:val="both"/>
        <w:rPr>
          <w:sz w:val="28"/>
          <w:szCs w:val="28"/>
        </w:rPr>
      </w:pPr>
    </w:p>
    <w:p w14:paraId="11C57E24" w14:textId="77777777" w:rsidR="00A3482C" w:rsidRDefault="00A3482C" w:rsidP="00197837">
      <w:pPr>
        <w:ind w:left="480"/>
        <w:jc w:val="both"/>
        <w:rPr>
          <w:sz w:val="28"/>
          <w:szCs w:val="28"/>
        </w:rPr>
      </w:pPr>
    </w:p>
    <w:p w14:paraId="6803D518" w14:textId="77777777" w:rsidR="00A3482C" w:rsidRDefault="00A3482C" w:rsidP="00197837">
      <w:pPr>
        <w:ind w:left="480"/>
        <w:jc w:val="both"/>
        <w:rPr>
          <w:sz w:val="28"/>
          <w:szCs w:val="28"/>
        </w:rPr>
      </w:pPr>
    </w:p>
    <w:p w14:paraId="50DCA67A" w14:textId="77777777" w:rsidR="00A3482C" w:rsidRDefault="00A3482C" w:rsidP="00197837">
      <w:pPr>
        <w:ind w:left="480"/>
        <w:jc w:val="both"/>
        <w:rPr>
          <w:sz w:val="28"/>
          <w:szCs w:val="28"/>
        </w:rPr>
      </w:pPr>
    </w:p>
    <w:p w14:paraId="509139B5" w14:textId="77777777" w:rsidR="00A3482C" w:rsidRDefault="00A3482C" w:rsidP="00197837">
      <w:pPr>
        <w:ind w:left="480"/>
        <w:jc w:val="both"/>
        <w:rPr>
          <w:sz w:val="28"/>
          <w:szCs w:val="28"/>
        </w:rPr>
      </w:pPr>
    </w:p>
    <w:p w14:paraId="67131664" w14:textId="77777777" w:rsidR="00A3482C" w:rsidRDefault="00A3482C" w:rsidP="00197837">
      <w:pPr>
        <w:ind w:left="480"/>
        <w:jc w:val="both"/>
        <w:rPr>
          <w:sz w:val="28"/>
          <w:szCs w:val="28"/>
        </w:rPr>
      </w:pPr>
    </w:p>
    <w:p w14:paraId="067038D0" w14:textId="77777777" w:rsidR="00A3482C" w:rsidRDefault="00A3482C" w:rsidP="00197837">
      <w:pPr>
        <w:ind w:left="480"/>
        <w:jc w:val="both"/>
        <w:rPr>
          <w:sz w:val="28"/>
          <w:szCs w:val="28"/>
        </w:rPr>
      </w:pPr>
    </w:p>
    <w:p w14:paraId="5976DA46" w14:textId="624EDC8F" w:rsidR="00E032B7" w:rsidRPr="00197837" w:rsidRDefault="00197837" w:rsidP="00197837">
      <w:pPr>
        <w:ind w:left="480"/>
        <w:jc w:val="both"/>
        <w:rPr>
          <w:sz w:val="28"/>
          <w:szCs w:val="28"/>
          <w:lang w:val="en-HK"/>
        </w:rPr>
      </w:pPr>
      <w:r w:rsidRPr="00197837">
        <w:rPr>
          <w:sz w:val="28"/>
          <w:szCs w:val="28"/>
          <w:lang w:val="en-HK"/>
        </w:rPr>
        <w:t xml:space="preserve">Analysis of credit data reveals that customers who keep their revolving balances very low (under $305) consistently achieve excellent credit ratings because they likely pay off their balances monthly, avoiding debt entirely. However, when balances exceed $1,173, risk surges dramatically—even among high-income earners ($80K+). For example, 59% of customers with balances over $1,173 receive "Poor" ratings, showing that high utilization (maxing out cards or missing payments) overpowers income advantages. This identifies </w:t>
      </w:r>
      <w:r w:rsidRPr="00197837">
        <w:rPr>
          <w:sz w:val="28"/>
          <w:szCs w:val="28"/>
          <w:lang w:val="en-HK"/>
        </w:rPr>
        <w:lastRenderedPageBreak/>
        <w:t>a critical financial threshold: disciplined behavior (low balances) is the strongest predictor of credit health, while balances over $1,173 signal severe financial stress regardless of salary. Banks should prioritize helping customers stay below this danger zone to reduce default risk.</w:t>
      </w:r>
    </w:p>
    <w:p w14:paraId="0204E116" w14:textId="77777777" w:rsidR="00FA46E5" w:rsidRPr="00FA0933" w:rsidRDefault="00FA46E5" w:rsidP="00E032B7">
      <w:pPr>
        <w:jc w:val="both"/>
        <w:rPr>
          <w:rFonts w:ascii="Times New Roman" w:hAnsi="Times New Roman" w:cs="Times New Roman"/>
          <w:sz w:val="28"/>
          <w:szCs w:val="28"/>
        </w:rPr>
      </w:pPr>
    </w:p>
    <w:p w14:paraId="78F01E89" w14:textId="4E14F141"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A3482C">
      <w:pPr>
        <w:ind w:left="480"/>
        <w:jc w:val="center"/>
        <w:rPr>
          <w:rFonts w:ascii="Times New Roman" w:hAnsi="Times New Roman" w:cs="Times New Roman"/>
          <w:sz w:val="28"/>
          <w:szCs w:val="28"/>
        </w:rPr>
      </w:pPr>
    </w:p>
    <w:p w14:paraId="1A54F2A9" w14:textId="272FE3C8" w:rsidR="00A3482C" w:rsidRDefault="00A3482C" w:rsidP="00A3482C">
      <w:pPr>
        <w:ind w:left="480"/>
        <w:jc w:val="center"/>
        <w:rPr>
          <w:rFonts w:ascii="Times New Roman" w:hAnsi="Times New Roman" w:cs="Times New Roman"/>
          <w:sz w:val="28"/>
          <w:szCs w:val="28"/>
        </w:rPr>
      </w:pPr>
      <w:r>
        <w:rPr>
          <w:noProof/>
        </w:rPr>
        <w:drawing>
          <wp:inline distT="0" distB="0" distL="0" distR="0" wp14:anchorId="73423496" wp14:editId="46B65081">
            <wp:extent cx="4699242" cy="2514729"/>
            <wp:effectExtent l="0" t="0" r="6350" b="0"/>
            <wp:docPr id="14729623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76" name="Picture 1" descr="A graph of a graph&#10;&#10;AI-generated content may be incorrect."/>
                    <pic:cNvPicPr/>
                  </pic:nvPicPr>
                  <pic:blipFill>
                    <a:blip r:embed="rId15"/>
                    <a:stretch>
                      <a:fillRect/>
                    </a:stretch>
                  </pic:blipFill>
                  <pic:spPr>
                    <a:xfrm>
                      <a:off x="0" y="0"/>
                      <a:ext cx="4699242" cy="2514729"/>
                    </a:xfrm>
                    <a:prstGeom prst="rect">
                      <a:avLst/>
                    </a:prstGeom>
                  </pic:spPr>
                </pic:pic>
              </a:graphicData>
            </a:graphic>
          </wp:inline>
        </w:drawing>
      </w:r>
    </w:p>
    <w:p w14:paraId="0540CA0B" w14:textId="67AE4A70" w:rsidR="006744E3" w:rsidRPr="006744E3" w:rsidRDefault="006744E3" w:rsidP="006744E3">
      <w:pPr>
        <w:spacing w:after="240"/>
        <w:ind w:left="480"/>
        <w:jc w:val="both"/>
        <w:rPr>
          <w:sz w:val="28"/>
          <w:szCs w:val="28"/>
        </w:rPr>
      </w:pPr>
      <w:r w:rsidRPr="006744E3">
        <w:rPr>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1. Steady Mid-Age Spenders (Cluster 1)</w:t>
      </w:r>
    </w:p>
    <w:p w14:paraId="07C549E2"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Customers in this group have an average age of 51, ranging from 39 to 65 years old. They tend to have well-established financial routines and moderate spending habits. Many likely use their credit cards for consistent, planned payments such as household expenses, bills, or healthcare. While not heavy swipers, they maintain regular usage patterns and are considered reliable clients.</w:t>
      </w:r>
    </w:p>
    <w:p w14:paraId="36B00C2A"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2. Dynamic Young Professionals (Cluster 2)</w:t>
      </w:r>
    </w:p>
    <w:p w14:paraId="1ACF6F6B"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 xml:space="preserve">Averaging about 40 years old and ranging from 26 to 46, these customers are younger adults with rising financial responsibilities. Their behavior points to more frequent transactions—digital payments, lifestyle purchases, and possibly family-related spending. This group </w:t>
      </w:r>
      <w:r w:rsidRPr="00D80F65">
        <w:rPr>
          <w:rFonts w:ascii="Times New Roman" w:hAnsi="Times New Roman" w:cs="Times New Roman"/>
          <w:sz w:val="28"/>
          <w:szCs w:val="28"/>
          <w:lang w:val="en-HK"/>
        </w:rPr>
        <w:lastRenderedPageBreak/>
        <w:t>would respond well to flexible rewards and mobile-based offers that fit their active lifestyles.</w:t>
      </w:r>
    </w:p>
    <w:p w14:paraId="22F20C47"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3. Tech-Savvy Cautious Users (Cluster 3)</w:t>
      </w:r>
    </w:p>
    <w:p w14:paraId="3ACDC04F"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4. Senior Occasional Users (Cluster 4)</w:t>
      </w:r>
    </w:p>
    <w:p w14:paraId="6C073806"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By combining age profiles with transaction behavior, this clustering approach allows the bank to define its customers not just by how they spend, but by who they are in life. These insights support more thoughtful product design, targeted outreach, and stronger customer relationships.</w:t>
      </w:r>
    </w:p>
    <w:p w14:paraId="632DE217" w14:textId="260D2A36"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76EEB3A2" w14:textId="77777777" w:rsidR="005844F5" w:rsidRPr="005844F5" w:rsidRDefault="005844F5" w:rsidP="005844F5">
      <w:pPr>
        <w:spacing w:after="240"/>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evaluate the quality of the Naive Bayes classification model, we compared its predicted utilization rankings (Util_Rank) for new 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the majority of existing customers were also labeled “Excellent” or “Good,” and only a small number were assigned to the “Fair” class. This suggests that the model has learned to focus on the most common patterns in </w:t>
      </w:r>
      <w:r w:rsidRPr="005844F5">
        <w:rPr>
          <w:rFonts w:ascii="Times New Roman" w:hAnsi="Times New Roman" w:cs="Times New Roman"/>
          <w:sz w:val="28"/>
          <w:szCs w:val="28"/>
          <w:lang w:val="en-HK"/>
        </w:rPr>
        <w:lastRenderedPageBreak/>
        <w:t>the data, but struggles to recognize less frequent categories. When we examined specific individual cases—such as a customer aged 53, graduate level education, married, and earning between $80K and $120K—the predicted class was “Excellent.” We then filtered similar customers from the training set and observed that many of them also had an “Excellent” Util_Rank, reinforcing that the model can make accurate predictions when the input is clearly aligned with known patterns.</w:t>
      </w:r>
    </w:p>
    <w:p w14:paraId="3E6E46A3" w14:textId="77777777" w:rsidR="005844F5" w:rsidRPr="005844F5" w:rsidRDefault="005844F5" w:rsidP="005844F5">
      <w:pPr>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However, when analyzing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behavior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57181961" w14:textId="77777777" w:rsidR="005844F5" w:rsidRDefault="005844F5" w:rsidP="005844F5">
      <w:pPr>
        <w:pStyle w:val="ListParagraph"/>
        <w:ind w:leftChars="0"/>
        <w:jc w:val="both"/>
        <w:rPr>
          <w:rFonts w:ascii="Times New Roman" w:hAnsi="Times New Roman" w:cs="Times New Roman"/>
          <w:sz w:val="28"/>
          <w:szCs w:val="28"/>
        </w:rPr>
      </w:pPr>
    </w:p>
    <w:p w14:paraId="56D9372A" w14:textId="08F60E5A" w:rsidR="005844F5" w:rsidRPr="00A33FC1" w:rsidRDefault="005844F5" w:rsidP="00A33FC1">
      <w:pPr>
        <w:pStyle w:val="ListParagraph"/>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5844F5">
        <w:rPr>
          <w:rFonts w:ascii="Times New Roman" w:hAnsi="Times New Roman" w:cs="Times New Roman"/>
          <w:b/>
          <w:bCs/>
          <w:sz w:val="28"/>
          <w:szCs w:val="28"/>
          <w:lang w:val="en-HK"/>
        </w:rPr>
        <w:t>$80K and $120K</w:t>
      </w:r>
      <w:r w:rsidRPr="005844F5">
        <w:rPr>
          <w:rFonts w:ascii="Times New Roman" w:hAnsi="Times New Roman" w:cs="Times New Roman"/>
          <w:sz w:val="28"/>
          <w:szCs w:val="28"/>
          <w:lang w:val="en-HK"/>
        </w:rPr>
        <w:t xml:space="preserve">, has been with the bank for 47 months, and has a relationship count of 3. The model predicted a credit limit of </w:t>
      </w:r>
      <w:r w:rsidRPr="005844F5">
        <w:rPr>
          <w:rFonts w:ascii="Times New Roman" w:hAnsi="Times New Roman" w:cs="Times New Roman"/>
          <w:b/>
          <w:bCs/>
          <w:sz w:val="28"/>
          <w:szCs w:val="28"/>
          <w:lang w:val="en-HK"/>
        </w:rPr>
        <w:t>$6,686.13</w:t>
      </w:r>
      <w:r w:rsidRPr="005844F5">
        <w:rPr>
          <w:rFonts w:ascii="Times New Roman" w:hAnsi="Times New Roman" w:cs="Times New Roman"/>
          <w:sz w:val="28"/>
          <w:szCs w:val="28"/>
          <w:lang w:val="en-HK"/>
        </w:rPr>
        <w:t xml:space="preserve">. To evaluate this, we </w:t>
      </w:r>
      <w:r w:rsidRPr="005844F5">
        <w:rPr>
          <w:rFonts w:ascii="Times New Roman" w:hAnsi="Times New Roman" w:cs="Times New Roman"/>
          <w:sz w:val="28"/>
          <w:szCs w:val="28"/>
          <w:lang w:val="en-HK"/>
        </w:rPr>
        <w:lastRenderedPageBreak/>
        <w:t xml:space="preserve">reviewed actual credit limits of comparable customers in the historical dataset, which ranged from </w:t>
      </w:r>
      <w:r w:rsidRPr="005844F5">
        <w:rPr>
          <w:rFonts w:ascii="Times New Roman" w:hAnsi="Times New Roman" w:cs="Times New Roman"/>
          <w:b/>
          <w:bCs/>
          <w:sz w:val="28"/>
          <w:szCs w:val="28"/>
          <w:lang w:val="en-HK"/>
        </w:rPr>
        <w:t>$1,438 to $15,987</w:t>
      </w:r>
      <w:r w:rsidRPr="005844F5">
        <w:rPr>
          <w:rFonts w:ascii="Times New Roman" w:hAnsi="Times New Roman" w:cs="Times New Roman"/>
          <w:sz w:val="28"/>
          <w:szCs w:val="28"/>
          <w:lang w:val="en-HK"/>
        </w:rPr>
        <w:t xml:space="preserve">, with a median of </w:t>
      </w:r>
      <w:r w:rsidRPr="005844F5">
        <w:rPr>
          <w:rFonts w:ascii="Times New Roman" w:hAnsi="Times New Roman" w:cs="Times New Roman"/>
          <w:b/>
          <w:bCs/>
          <w:sz w:val="28"/>
          <w:szCs w:val="28"/>
          <w:lang w:val="en-HK"/>
        </w:rPr>
        <w:t>$2,826</w:t>
      </w:r>
      <w:r w:rsidRPr="005844F5">
        <w:rPr>
          <w:rFonts w:ascii="Times New Roman" w:hAnsi="Times New Roman" w:cs="Times New Roman"/>
          <w:sz w:val="28"/>
          <w:szCs w:val="28"/>
          <w:lang w:val="en-HK"/>
        </w:rPr>
        <w:t xml:space="preserve"> and an average of </w:t>
      </w:r>
      <w:r w:rsidRPr="005844F5">
        <w:rPr>
          <w:rFonts w:ascii="Times New Roman" w:hAnsi="Times New Roman" w:cs="Times New Roman"/>
          <w:b/>
          <w:bCs/>
          <w:sz w:val="28"/>
          <w:szCs w:val="28"/>
          <w:lang w:val="en-HK"/>
        </w:rPr>
        <w:t>$3,728</w:t>
      </w:r>
      <w:r w:rsidRPr="005844F5">
        <w:rPr>
          <w:rFonts w:ascii="Times New Roman" w:hAnsi="Times New Roman" w:cs="Times New Roman"/>
          <w:sz w:val="28"/>
          <w:szCs w:val="28"/>
          <w:lang w:val="en-HK"/>
        </w:rPr>
        <w:t>. While the predicted credit limit is above average, it remains within the observed range, particularly for customers in higher income brackets. This suggests the model appropriately captures customer behavior,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A02618" w:rsidRDefault="002A6624" w:rsidP="002A5F33">
      <w:pPr>
        <w:pStyle w:val="Heading1"/>
      </w:pPr>
      <w:bookmarkStart w:id="7" w:name="_Toc202813812"/>
      <w:r w:rsidRPr="00FA0933">
        <w:t>Conclusion</w:t>
      </w:r>
      <w:bookmarkEnd w:id="7"/>
    </w:p>
    <w:p w14:paraId="2284D19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DSAI Bank’s customer analysis has uncovered several meaningful insights that can help improve how the bank serves its customers and grows its business. One of the strongest patterns comes from examining customer education levels. A large number of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frequent communication from relationship managers.</w:t>
      </w:r>
    </w:p>
    <w:p w14:paraId="5C68B8C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w:t>
      </w:r>
      <w:r w:rsidRPr="00801277">
        <w:rPr>
          <w:rFonts w:ascii="Times New Roman" w:hAnsi="Times New Roman" w:cs="Times New Roman"/>
          <w:sz w:val="28"/>
          <w:szCs w:val="28"/>
          <w:lang w:val="en-HK"/>
        </w:rPr>
        <w:lastRenderedPageBreak/>
        <w:t>reasonable to treat them as such when planning marketing offers or assigning credit limits. Doing this avoids accidentally undervaluing them or offering the wrong products, which helps build trust and improve customer satisfaction.</w:t>
      </w:r>
    </w:p>
    <w:p w14:paraId="3886D72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In credit behavior, one standout insight is about how customers manage their balance. Those who keep their balances very low—especially under $305—are much more likely to receive an “Excellent” credit rating. These users likely pay off their balance each month or stay within a comfortable spending range. On the other hand, when balances go above $1,173, the number of “Poor” credit ratings rises sharply, even among those earning high incomes. This suggests that high balances are more dangerous than low income when it comes to credit health. It also shows the bank should pay close attention to customers with large balances, even if their salary is high. Proactive tools like alerts, limit reminders, or helpful budgeting nudges could prevent these customers from becoming high-risk cases.</w:t>
      </w:r>
    </w:p>
    <w:p w14:paraId="3B3218D2"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Finally, by grouping customers using clustering methods based on age and transaction count, we discovered four main types of users. First, there are </w:t>
      </w:r>
      <w:r w:rsidRPr="00801277">
        <w:rPr>
          <w:rFonts w:ascii="Times New Roman" w:hAnsi="Times New Roman" w:cs="Times New Roman"/>
          <w:b/>
          <w:bCs/>
          <w:sz w:val="28"/>
          <w:szCs w:val="28"/>
          <w:lang w:val="en-HK"/>
        </w:rPr>
        <w:t>Steady Mid-Age Spenders</w:t>
      </w:r>
      <w:r w:rsidRPr="00801277">
        <w:rPr>
          <w:rFonts w:ascii="Times New Roman" w:hAnsi="Times New Roman" w:cs="Times New Roman"/>
          <w:sz w:val="28"/>
          <w:szCs w:val="28"/>
          <w:lang w:val="en-HK"/>
        </w:rPr>
        <w:t xml:space="preserve">, usually aged 39 to 65, who spend moderately and stick to routines—great for stable, long-term plans. Next, </w:t>
      </w:r>
      <w:r w:rsidRPr="00801277">
        <w:rPr>
          <w:rFonts w:ascii="Times New Roman" w:hAnsi="Times New Roman" w:cs="Times New Roman"/>
          <w:b/>
          <w:bCs/>
          <w:sz w:val="28"/>
          <w:szCs w:val="28"/>
          <w:lang w:val="en-HK"/>
        </w:rPr>
        <w:t>Dynamic Young Professionals</w:t>
      </w:r>
      <w:r w:rsidRPr="00801277">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01277">
        <w:rPr>
          <w:rFonts w:ascii="Times New Roman" w:hAnsi="Times New Roman" w:cs="Times New Roman"/>
          <w:b/>
          <w:bCs/>
          <w:sz w:val="28"/>
          <w:szCs w:val="28"/>
          <w:lang w:val="en-HK"/>
        </w:rPr>
        <w:t>Tech-Savvy Cautious Users</w:t>
      </w:r>
      <w:r w:rsidRPr="00801277">
        <w:rPr>
          <w:rFonts w:ascii="Times New Roman" w:hAnsi="Times New Roman" w:cs="Times New Roman"/>
          <w:sz w:val="28"/>
          <w:szCs w:val="28"/>
          <w:lang w:val="en-HK"/>
        </w:rPr>
        <w:t xml:space="preserve">, is similar in age but spends more carefully; they may value educational tools or spending control features. </w:t>
      </w:r>
      <w:r w:rsidRPr="00801277">
        <w:rPr>
          <w:rFonts w:ascii="Times New Roman" w:hAnsi="Times New Roman" w:cs="Times New Roman"/>
          <w:sz w:val="28"/>
          <w:szCs w:val="28"/>
          <w:lang w:val="en-HK"/>
        </w:rPr>
        <w:lastRenderedPageBreak/>
        <w:t xml:space="preserve">Last are </w:t>
      </w:r>
      <w:r w:rsidRPr="00801277">
        <w:rPr>
          <w:rFonts w:ascii="Times New Roman" w:hAnsi="Times New Roman" w:cs="Times New Roman"/>
          <w:b/>
          <w:bCs/>
          <w:sz w:val="28"/>
          <w:szCs w:val="28"/>
          <w:lang w:val="en-HK"/>
        </w:rPr>
        <w:t>Senior Occasional Users</w:t>
      </w:r>
      <w:r w:rsidRPr="00801277">
        <w:rPr>
          <w:rFonts w:ascii="Times New Roman" w:hAnsi="Times New Roman" w:cs="Times New Roman"/>
          <w:sz w:val="28"/>
          <w:szCs w:val="28"/>
          <w:lang w:val="en-HK"/>
        </w:rPr>
        <w:t>, aged 48 to 73, who use their credit cards less frequently and mostly for large, one-off expenses. They may prefer personalized support, clear statements, and services that prioritize peace of mind. Understanding these groups allows the bank to better design campaigns, services, and rewards that match each group’s lifestyle and needs.</w:t>
      </w:r>
    </w:p>
    <w:p w14:paraId="5AD369CB" w14:textId="5B84F7CD" w:rsidR="00F81681" w:rsidRPr="002A5F33"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customer-centered product development, the bank can increase satisfaction, lower risk, and grow its long-term value.</w:t>
      </w:r>
    </w:p>
    <w:sectPr w:rsidR="00F81681" w:rsidRPr="002A5F33" w:rsidSect="00F81681">
      <w:footerReference w:type="default" r:id="rId16"/>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B9345" w14:textId="77777777" w:rsidR="009A3194" w:rsidRDefault="009A3194" w:rsidP="00F81681">
      <w:r>
        <w:separator/>
      </w:r>
    </w:p>
  </w:endnote>
  <w:endnote w:type="continuationSeparator" w:id="0">
    <w:p w14:paraId="7D7A18D7" w14:textId="77777777" w:rsidR="009A3194" w:rsidRDefault="009A3194"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Footer"/>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B1F9C" w14:textId="77777777" w:rsidR="009A3194" w:rsidRDefault="009A3194" w:rsidP="00F81681">
      <w:r>
        <w:separator/>
      </w:r>
    </w:p>
  </w:footnote>
  <w:footnote w:type="continuationSeparator" w:id="0">
    <w:p w14:paraId="1B871328" w14:textId="77777777" w:rsidR="009A3194" w:rsidRDefault="009A3194"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8"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7"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4"/>
  </w:num>
  <w:num w:numId="2" w16cid:durableId="1909803839">
    <w:abstractNumId w:val="0"/>
  </w:num>
  <w:num w:numId="3" w16cid:durableId="842740749">
    <w:abstractNumId w:val="11"/>
  </w:num>
  <w:num w:numId="4" w16cid:durableId="514155948">
    <w:abstractNumId w:val="2"/>
  </w:num>
  <w:num w:numId="5" w16cid:durableId="1427117072">
    <w:abstractNumId w:val="3"/>
  </w:num>
  <w:num w:numId="6" w16cid:durableId="1746143858">
    <w:abstractNumId w:val="17"/>
  </w:num>
  <w:num w:numId="7" w16cid:durableId="745877396">
    <w:abstractNumId w:val="12"/>
  </w:num>
  <w:num w:numId="8" w16cid:durableId="483277611">
    <w:abstractNumId w:val="14"/>
  </w:num>
  <w:num w:numId="9" w16cid:durableId="1761170175">
    <w:abstractNumId w:val="10"/>
  </w:num>
  <w:num w:numId="10" w16cid:durableId="818420616">
    <w:abstractNumId w:val="16"/>
  </w:num>
  <w:num w:numId="11" w16cid:durableId="145053048">
    <w:abstractNumId w:val="5"/>
  </w:num>
  <w:num w:numId="12" w16cid:durableId="195316401">
    <w:abstractNumId w:val="9"/>
  </w:num>
  <w:num w:numId="13" w16cid:durableId="1940021903">
    <w:abstractNumId w:val="6"/>
  </w:num>
  <w:num w:numId="14" w16cid:durableId="1015955724">
    <w:abstractNumId w:val="13"/>
  </w:num>
  <w:num w:numId="15" w16cid:durableId="1681855027">
    <w:abstractNumId w:val="15"/>
  </w:num>
  <w:num w:numId="16" w16cid:durableId="1788041947">
    <w:abstractNumId w:val="8"/>
  </w:num>
  <w:num w:numId="17" w16cid:durableId="1977955866">
    <w:abstractNumId w:val="1"/>
  </w:num>
  <w:num w:numId="18" w16cid:durableId="1066488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1711F"/>
    <w:rsid w:val="001760D7"/>
    <w:rsid w:val="00176DEC"/>
    <w:rsid w:val="00197837"/>
    <w:rsid w:val="001C413F"/>
    <w:rsid w:val="0020473A"/>
    <w:rsid w:val="00206679"/>
    <w:rsid w:val="00233148"/>
    <w:rsid w:val="00245CAE"/>
    <w:rsid w:val="00261826"/>
    <w:rsid w:val="0027347B"/>
    <w:rsid w:val="00274AE7"/>
    <w:rsid w:val="002A5F33"/>
    <w:rsid w:val="002A6624"/>
    <w:rsid w:val="002A724F"/>
    <w:rsid w:val="00331E53"/>
    <w:rsid w:val="003467CF"/>
    <w:rsid w:val="003608E0"/>
    <w:rsid w:val="00362668"/>
    <w:rsid w:val="00373B98"/>
    <w:rsid w:val="003D486C"/>
    <w:rsid w:val="003E2CAA"/>
    <w:rsid w:val="003E2FB3"/>
    <w:rsid w:val="003E43C4"/>
    <w:rsid w:val="004152F0"/>
    <w:rsid w:val="004D0EE4"/>
    <w:rsid w:val="00516975"/>
    <w:rsid w:val="00524B2F"/>
    <w:rsid w:val="005844F5"/>
    <w:rsid w:val="005A7DB0"/>
    <w:rsid w:val="005C27B3"/>
    <w:rsid w:val="005D0054"/>
    <w:rsid w:val="005D7409"/>
    <w:rsid w:val="0063030C"/>
    <w:rsid w:val="006744E3"/>
    <w:rsid w:val="006A0CDB"/>
    <w:rsid w:val="00721A5E"/>
    <w:rsid w:val="00731490"/>
    <w:rsid w:val="007C4A67"/>
    <w:rsid w:val="007D3935"/>
    <w:rsid w:val="00801277"/>
    <w:rsid w:val="00831BFF"/>
    <w:rsid w:val="008569A3"/>
    <w:rsid w:val="00910CCE"/>
    <w:rsid w:val="00934161"/>
    <w:rsid w:val="00936E82"/>
    <w:rsid w:val="00982B8E"/>
    <w:rsid w:val="009A3194"/>
    <w:rsid w:val="009B4BD9"/>
    <w:rsid w:val="009F0AC2"/>
    <w:rsid w:val="009F12D7"/>
    <w:rsid w:val="00A02618"/>
    <w:rsid w:val="00A034FA"/>
    <w:rsid w:val="00A229DD"/>
    <w:rsid w:val="00A33FC1"/>
    <w:rsid w:val="00A3482C"/>
    <w:rsid w:val="00A51FAD"/>
    <w:rsid w:val="00A73906"/>
    <w:rsid w:val="00AA3FD7"/>
    <w:rsid w:val="00BA4F75"/>
    <w:rsid w:val="00BE72CA"/>
    <w:rsid w:val="00C03CE0"/>
    <w:rsid w:val="00C1262E"/>
    <w:rsid w:val="00C25BFB"/>
    <w:rsid w:val="00C5755E"/>
    <w:rsid w:val="00D33B3E"/>
    <w:rsid w:val="00D44A29"/>
    <w:rsid w:val="00D80F65"/>
    <w:rsid w:val="00D966EE"/>
    <w:rsid w:val="00DA4283"/>
    <w:rsid w:val="00DF6D12"/>
    <w:rsid w:val="00E032B7"/>
    <w:rsid w:val="00E07FB4"/>
    <w:rsid w:val="00E70536"/>
    <w:rsid w:val="00E914CF"/>
    <w:rsid w:val="00EC78CC"/>
    <w:rsid w:val="00F03F96"/>
    <w:rsid w:val="00F22E7A"/>
    <w:rsid w:val="00F342A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681"/>
    <w:rPr>
      <w:kern w:val="0"/>
      <w:sz w:val="22"/>
    </w:rPr>
  </w:style>
  <w:style w:type="character" w:customStyle="1" w:styleId="NoSpacingChar">
    <w:name w:val="No Spacing Char"/>
    <w:basedOn w:val="DefaultParagraphFont"/>
    <w:link w:val="NoSpacing"/>
    <w:uiPriority w:val="1"/>
    <w:rsid w:val="00F81681"/>
    <w:rPr>
      <w:kern w:val="0"/>
      <w:sz w:val="22"/>
    </w:rPr>
  </w:style>
  <w:style w:type="character" w:customStyle="1" w:styleId="Heading1Char">
    <w:name w:val="Heading 1 Char"/>
    <w:basedOn w:val="DefaultParagraphFont"/>
    <w:link w:val="Heading1"/>
    <w:uiPriority w:val="9"/>
    <w:rsid w:val="00F81681"/>
    <w:rPr>
      <w:rFonts w:asciiTheme="majorHAnsi" w:eastAsiaTheme="majorEastAsia" w:hAnsiTheme="majorHAnsi" w:cstheme="majorBidi"/>
      <w:b/>
      <w:bCs/>
      <w:kern w:val="52"/>
      <w:sz w:val="52"/>
      <w:szCs w:val="52"/>
    </w:rPr>
  </w:style>
  <w:style w:type="table" w:styleId="GridTable4">
    <w:name w:val="Grid Table 4"/>
    <w:basedOn w:val="TableNormal"/>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81681"/>
    <w:rPr>
      <w:rFonts w:asciiTheme="majorHAnsi" w:eastAsiaTheme="majorEastAsia" w:hAnsiTheme="majorHAnsi" w:cstheme="majorBidi"/>
      <w:b/>
      <w:bCs/>
      <w:sz w:val="48"/>
      <w:szCs w:val="48"/>
    </w:rPr>
  </w:style>
  <w:style w:type="paragraph" w:styleId="ListParagraph">
    <w:name w:val="List Paragraph"/>
    <w:basedOn w:val="Normal"/>
    <w:uiPriority w:val="34"/>
    <w:qFormat/>
    <w:rsid w:val="00F81681"/>
    <w:pPr>
      <w:ind w:leftChars="200" w:left="480"/>
    </w:pPr>
  </w:style>
  <w:style w:type="paragraph" w:styleId="Header">
    <w:name w:val="header"/>
    <w:basedOn w:val="Normal"/>
    <w:link w:val="HeaderChar"/>
    <w:uiPriority w:val="99"/>
    <w:unhideWhenUsed/>
    <w:rsid w:val="00F816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81681"/>
    <w:rPr>
      <w:sz w:val="20"/>
      <w:szCs w:val="20"/>
    </w:rPr>
  </w:style>
  <w:style w:type="paragraph" w:styleId="Footer">
    <w:name w:val="footer"/>
    <w:basedOn w:val="Normal"/>
    <w:link w:val="FooterChar"/>
    <w:uiPriority w:val="99"/>
    <w:unhideWhenUsed/>
    <w:rsid w:val="00F816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81681"/>
    <w:rPr>
      <w:sz w:val="20"/>
      <w:szCs w:val="20"/>
    </w:rPr>
  </w:style>
  <w:style w:type="paragraph" w:styleId="TOCHeading">
    <w:name w:val="TOC Heading"/>
    <w:basedOn w:val="Heading1"/>
    <w:next w:val="Normal"/>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516975"/>
  </w:style>
  <w:style w:type="paragraph" w:styleId="TOC2">
    <w:name w:val="toc 2"/>
    <w:basedOn w:val="Normal"/>
    <w:next w:val="Normal"/>
    <w:autoRedefine/>
    <w:uiPriority w:val="39"/>
    <w:unhideWhenUsed/>
    <w:rsid w:val="00516975"/>
    <w:pPr>
      <w:ind w:leftChars="200" w:left="480"/>
    </w:pPr>
  </w:style>
  <w:style w:type="character" w:styleId="Hyperlink">
    <w:name w:val="Hyperlink"/>
    <w:basedOn w:val="DefaultParagraphFont"/>
    <w:uiPriority w:val="99"/>
    <w:unhideWhenUsed/>
    <w:rsid w:val="00516975"/>
    <w:rPr>
      <w:color w:val="0563C1" w:themeColor="hyperlink"/>
      <w:u w:val="single"/>
    </w:rPr>
  </w:style>
  <w:style w:type="table" w:styleId="TableGrid">
    <w:name w:val="Table Grid"/>
    <w:basedOn w:val="TableNormal"/>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7409"/>
    <w:rPr>
      <w:b/>
      <w:bCs/>
    </w:rPr>
  </w:style>
  <w:style w:type="paragraph" w:styleId="NormalWeb">
    <w:name w:val="Normal (Web)"/>
    <w:basedOn w:val="Normal"/>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UnresolvedMention">
    <w:name w:val="Unresolved Mention"/>
    <w:basedOn w:val="DefaultParagraphFont"/>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14</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IT114116 - DSAI</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TAN James Anthroi (240350922)</cp:lastModifiedBy>
  <cp:revision>63</cp:revision>
  <dcterms:created xsi:type="dcterms:W3CDTF">2020-07-08T04:22:00Z</dcterms:created>
  <dcterms:modified xsi:type="dcterms:W3CDTF">2025-07-07T16:37:00Z</dcterms:modified>
</cp:coreProperties>
</file>