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</w:rPr>
        <w:t>单次测试报告</w:t>
      </w:r>
    </w:p>
    <w:p>
      <w:r>
        <w:rPr>
          <w:rFonts w:ascii="微软雅黑" w:hAnsi="微软雅黑" w:eastAsia="微软雅黑"/>
          <w:b w:val="0"/>
        </w:rPr>
        <w:t>TDSQL-B-v22.7.2 sysbench OLTP 性能测试</w:t>
      </w:r>
    </w:p>
    <w:p>
      <w:r>
        <w:rPr>
          <w:rFonts w:ascii="微软雅黑" w:hAnsi="微软雅黑" w:eastAsia="微软雅黑"/>
          <w:b w:val="0"/>
        </w:rPr>
        <w:t>日期：2026-06-19    版本：v1.0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</w:rPr>
        <w:t>第 1 章 测试结论</w:t>
      </w:r>
    </w:p>
    <w:p>
      <w:pPr>
        <w:pStyle w:val="Heading2"/>
      </w:pPr>
      <w:r>
        <w:rPr>
          <w:rFonts w:ascii="微软雅黑" w:hAnsi="微软雅黑" w:eastAsia="微软雅黑"/>
          <w:b/>
        </w:rPr>
        <w:t>1.1 测试结论摘要</w:t>
      </w:r>
    </w:p>
    <w:p>
      <w:r>
        <w:rPr>
          <w:rFonts w:ascii="微软雅黑" w:hAnsi="微软雅黑" w:eastAsia="微软雅黑"/>
          <w:b w:val="0"/>
        </w:rPr>
        <w:t>TDSQL-B-v22.7.2 的 sysbench OLTP 日志包含 5 个场景、6 个并发档，共 30 条记录。日志声明每项测试时长 300s，测试开始时间为 2026-06-10 14:00:00。五个场景的已测 QPS 峰值均出现在 512 并发，1000 并发时吞吐均有所回落且 P95、P99 上升；各场景分别分析，不合并为平均性能。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1.2 关键性能数字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峰值并发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 TPS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峰值 QPS</w:t>
            </w:r>
          </w:p>
        </w:tc>
        <w:tc>
          <w:tcPr>
            <w:tcW w:type="dxa" w:w="1728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P95@峰值 (ms)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点查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78,230.60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78,230.60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8.90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只读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3,380.20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47,322.80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158.40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混合读写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2,180.30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43,606.00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248.20</w:t>
            </w:r>
          </w:p>
        </w:tc>
      </w:tr>
      <w:tr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索引更新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13,250.40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13,250.40</w:t>
            </w:r>
          </w:p>
        </w:tc>
        <w:tc>
          <w:tcPr>
            <w:tcW w:type="dxa" w:w="1728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42.80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写入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20,120.80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60,362.40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</w:rPr>
              <w:t>32.50</w:t>
            </w:r>
          </w:p>
        </w:tc>
      </w:tr>
    </w:tbl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379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ea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图：TDSQL-B-v22.7.2 各场景峰值 QPS。不同场景的事务工作量不同，图中数值不代表场景优劣。</w:t>
      </w:r>
    </w:p>
    <w:p>
      <w:pPr>
        <w:pStyle w:val="Heading2"/>
      </w:pPr>
      <w:r>
        <w:rPr>
          <w:rFonts w:ascii="微软雅黑" w:hAnsi="微软雅黑" w:eastAsia="微软雅黑"/>
          <w:b/>
        </w:rPr>
        <w:t>1.3 核心结论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点查（oltp_point_select）：并发 32→512，QPS 18,420.50→78,230.60（4.25 倍）；在已测档位中峰值位于 512 并发。1000 并发 QPS 为 75,100.20，较峰值下降 4.00%；P95 从 2.10ms 增至 18.20ms，P99 从 3.40ms 增至 32.10ms。 数据来源：data/single.log；extracted_data.records[scenario=oltp_point_select]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只读（oltp_read_only）：并发 32→512，QPS 11,484.20→47,322.80（4.12 倍）；在已测档位中峰值位于 512 并发。1000 并发 QPS 为 45,088.40，较峰值下降 4.72%；P95 从 42.10ms 增至 320.10ms，P99 从 58.30ms 增至 458.20ms。 数据来源：data/single.log；extracted_data.records[scenario=oltp_read_only]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混合读写（oltp_read_write）：并发 32→512，QPS 10,408.00→43,606.00（4.19 倍）；在已测档位中峰值位于 512 并发。1000 并发 QPS 为 41,016.00，较峰值下降 5.94%；P95 从 72.30ms 增至 512.30ms，P99 从 98.50ms 增至 748.40ms。 数据来源：data/single.log；extracted_data.records[scenario=oltp_read_write]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索引更新（oltp_update_index）：并发 32→512，QPS 3,120.50→13,250.40（4.25 倍）；在已测档位中峰值位于 512 并发。1000 并发 QPS 为 12,820.10，较峰值下降 3.25%；P95 从 12.80ms 增至 88.40ms，P99 从 20.40ms 增至 152.30ms。 数据来源：data/single.log；extracted_data.records[scenario=oltp_update_index]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写入（oltp_write_only）：并发 32→512，QPS 14,460.30→60,362.40（4.17 倍）；在已测档位中峰值位于 512 并发。1000 并发 QPS 为 58,741.20，较峰值下降 2.69%；P95 从 8.40ms 增至 68.40ms，P99 从 14.20ms 增至 124.30ms。 数据来源：data/single.log；extracted_data.records[scenario=oltp_write_only]</w:t>
      </w:r>
    </w:p>
    <w:p>
      <w:pPr>
        <w:pStyle w:val="Heading1"/>
      </w:pPr>
      <w:r>
        <w:rPr>
          <w:rFonts w:ascii="微软雅黑" w:hAnsi="微软雅黑" w:eastAsia="微软雅黑"/>
          <w:b/>
        </w:rPr>
        <w:t>第 2 章 测试环境</w:t>
      </w:r>
    </w:p>
    <w:p>
      <w:pPr>
        <w:pStyle w:val="Heading2"/>
      </w:pPr>
      <w:r>
        <w:rPr>
          <w:rFonts w:ascii="微软雅黑" w:hAnsi="微软雅黑" w:eastAsia="微软雅黑"/>
          <w:b/>
        </w:rPr>
        <w:t>2.1 数据库配置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项</w:t>
            </w:r>
          </w:p>
        </w:tc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源日志值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产品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TDSQL-B-v22.7.2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DB 端点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10.0.0.11:3306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开始时间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2026-06-10 14:00:00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数据集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tables=16, table_size=1000000, prepare=true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单项测试时长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300s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报告时间锚点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2026-06-19T16:00:00+08:00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</w:rPr>
        <w:t>2.2 硬件环境</w:t>
      </w:r>
    </w:p>
    <w:p>
      <w:r>
        <w:rPr>
          <w:rFonts w:ascii="微软雅黑" w:hAnsi="微软雅黑" w:eastAsia="微软雅黑"/>
          <w:b w:val="0"/>
        </w:rPr>
        <w:t>源日志未提供 CPU、内存、磁盘、网络、操作系统、数据库配置参数及部署拓扑。硬件环境待补充，不能据此判断资源瓶颈或推广到其他机器。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2.3 测试方法</w:t>
      </w:r>
    </w:p>
    <w:p>
      <w:r>
        <w:rPr>
          <w:rFonts w:ascii="微软雅黑" w:hAnsi="微软雅黑" w:eastAsia="微软雅黑"/>
          <w:b w:val="0"/>
        </w:rPr>
        <w:t>工具为 sysbench，具体版本与完整执行命令未记录。并发档为 32、64、128、256、512、1000；日志声明 Duration: 300s，不能将 Time 字段中的年份当作时长。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点查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只读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混合读写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索引更新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写入</w:t>
            </w:r>
          </w:p>
        </w:tc>
      </w:tr>
    </w:tbl>
    <w:p>
      <w:r>
        <w:rPr>
          <w:rFonts w:ascii="微软雅黑" w:hAnsi="微软雅黑" w:eastAsia="微软雅黑"/>
          <w:b w:val="0"/>
        </w:rPr>
        <w:t>TPS 表示每秒事务数，QPS 表示每秒查询数；P95、P99 为延迟分位数，单位 ms。各场景事务组成不同，不能仅按 QPS 大小评价场景成本。</w:t>
      </w:r>
    </w:p>
    <w:p>
      <w:pPr>
        <w:pStyle w:val="Heading2"/>
      </w:pPr>
      <w:r>
        <w:rPr>
          <w:rFonts w:ascii="微软雅黑" w:hAnsi="微软雅黑" w:eastAsia="微软雅黑"/>
          <w:b/>
        </w:rPr>
        <w:t>2.4 数据质量与公平性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检查项</w:t>
            </w:r>
          </w:p>
        </w:tc>
        <w:tc>
          <w:tcPr>
            <w:tcW w:type="dxa" w:w="4320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产品/场景/并发档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1 / 5 / 6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记录数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30 = 1 × 5 × 6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TPS / QPS / P95 / P99 空值率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全部 0%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逐条源数据核对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30 条、120 个性能数值全部一致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并发覆盖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全部场景覆盖全部 6 档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数据集和时长</w:t>
            </w:r>
          </w:p>
        </w:tc>
        <w:tc>
          <w:tcPr>
            <w:tcW w:type="dxa" w:w="4320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同一日志统一配置；300s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硬件公平性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</w:rPr>
              <w:t>信息缺失，无法核实</w:t>
            </w:r>
          </w:p>
        </w:tc>
      </w:tr>
    </w:tbl>
    <w:p>
      <w:r>
        <w:rPr>
          <w:rFonts w:ascii="微软雅黑" w:hAnsi="微软雅黑" w:eastAsia="微软雅黑"/>
          <w:b w:val="0"/>
        </w:rPr>
        <w:t>原始解析器以工具名代替产品名，且时长匹配会先命中 Time 中的年份。本次输出通过日志 DB、Duration、Time、Data 显式字段校正；源文件与 Skill 均保持原样。</w:t>
      </w:r>
    </w:p>
    <w:p>
      <w:pPr>
        <w:pStyle w:val="Heading1"/>
      </w:pPr>
      <w:r>
        <w:rPr>
          <w:rFonts w:ascii="微软雅黑" w:hAnsi="微软雅黑" w:eastAsia="微软雅黑"/>
          <w:b/>
        </w:rPr>
        <w:t>第 3 章 性能数据</w:t>
      </w:r>
    </w:p>
    <w:p>
      <w:pPr>
        <w:pStyle w:val="Heading2"/>
      </w:pPr>
      <w:r>
        <w:rPr>
          <w:rFonts w:ascii="微软雅黑" w:hAnsi="微软雅黑" w:eastAsia="微软雅黑"/>
          <w:b/>
        </w:rPr>
        <w:t>3.1 TDSQL-B-v22.7.2 全量数据</w:t>
      </w:r>
    </w:p>
    <w:p>
      <w:r>
        <w:rPr>
          <w:rFonts w:ascii="微软雅黑" w:hAnsi="微软雅黑" w:eastAsia="微软雅黑"/>
          <w:b w:val="0"/>
        </w:rPr>
        <w:t>下表完整保留原始 30 条记录的场景、并发、记录时间和全部性能指标；所有数值保留源日志两位小数。产品为 TDSQL-B-v22.7.2，每项测试时长为 300s。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场景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并发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记录时间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TPS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QPS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P95 (ms)</w:t>
            </w:r>
          </w:p>
        </w:tc>
        <w:tc>
          <w:tcPr>
            <w:tcW w:type="dxa" w:w="1234"/>
            <w:shd w:fill="D9E2F3"/>
          </w:tcPr>
          <w:p>
            <w:r>
              <w:rPr>
                <w:rFonts w:ascii="微软雅黑" w:hAnsi="微软雅黑" w:eastAsia="微软雅黑"/>
                <w:b/>
                <w:color w:val="1F4E79"/>
              </w:rPr>
              <w:t>P99 (ms)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14:00:00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18,420.50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18,420.50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2.10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14:05:00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32,150.80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32,150.80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3.90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14:10:00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58,320.40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58,320.40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2.85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4.60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14:15:00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72,450.10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72,450.10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8.20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14:20:00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78,230.60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78,230.60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8.90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oltp_point_select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14:25:00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75,100.20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75,100.20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32.10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14:30:00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820.30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11,484.20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42.10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58.30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14:35:00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1,480.50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20,727.00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46.50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64.20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14:40:00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2,410.80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33,751.20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58.90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82.40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14:45:00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3,120.40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43,685.60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85.30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120.80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14:50:00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3,380.20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47,322.80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158.40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224.50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14:55:00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3,220.60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45,088.40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458.20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15:00:00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10,408.00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72.30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98.50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15:05:00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940.20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18,804.00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78.50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110.20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15:10:00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1,560.80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31,216.00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92.10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132.40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15:15:00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2,010.50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40,210.00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138.40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198.30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15:20:00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2,180.30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43,606.00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248.20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358.10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oltp_read_write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15:25:00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2,050.80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41,016.00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512.30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748.40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15:30:00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4,820.10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14,460.30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8.40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14.20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15:35:00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8,650.40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25,951.20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9.80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16.50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15:40:00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14,820.60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44,461.80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21.30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15:45:00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18,950.20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56,850.60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18.20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32.40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15:50:00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20,120.80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60,362.40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58.20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oltp_write_only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15:55:00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19,580.40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58,741.20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68.40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124.30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16:00:00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3,120.50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3,120.50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20.40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64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16:05:00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5,640.20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5,640.20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14.20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23.10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128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16:10:00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9,820.40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9,820.40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17.50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29.80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256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16:15:00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12,480.80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12,480.80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24.60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42.30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512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16:20:00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13,250.40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13,250.40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42.80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b w:val="0"/>
              </w:rPr>
              <w:t>72.50</w:t>
            </w:r>
          </w:p>
        </w:tc>
      </w:tr>
      <w:tr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oltp_update_index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1000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16:25:00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12,820.10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12,820.10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88.40</w:t>
            </w:r>
          </w:p>
        </w:tc>
        <w:tc>
          <w:tcPr>
            <w:tcW w:type="dxa" w:w="1234"/>
            <w:shd w:fill="F8FAFC"/>
          </w:tcPr>
          <w:p>
            <w:r>
              <w:rPr>
                <w:rFonts w:ascii="微软雅黑" w:hAnsi="微软雅黑" w:eastAsia="微软雅黑"/>
                <w:b w:val="0"/>
              </w:rPr>
              <w:t>152.30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</w:rPr>
        <w:t>第 4 章 性能分析</w:t>
      </w:r>
    </w:p>
    <w:p>
      <w:pPr>
        <w:pStyle w:val="Heading2"/>
      </w:pPr>
      <w:r>
        <w:rPr>
          <w:rFonts w:ascii="微软雅黑" w:hAnsi="微软雅黑" w:eastAsia="微软雅黑"/>
          <w:b/>
        </w:rPr>
        <w:t>4.1 并发扩展性</w:t>
      </w:r>
    </w:p>
    <w:p>
      <w:r>
        <w:rPr>
          <w:rFonts w:ascii="微软雅黑" w:hAnsi="微软雅黑" w:eastAsia="微软雅黑"/>
          <w:b w:val="0"/>
        </w:rPr>
        <w:t>五个场景均独立使用完整六档并发绘制曲线。全部场景的已测峰值位于 512 并发，继续增至 1000 并发时 QPS 回落。该现象仅描述本次采样，不能确定精确饱和点。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point_se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图：点查 并发-QPS 曲线，横轴为以 2 为底的对数刻度。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点查（oltp_point_select）：并发 32→512，QPS 18,420.50→78,230.60（4.25 倍）；在已测档位中峰值位于 512 并发。1000 并发 QPS 为 75,100.20，较峰值下降 4.00%；P95 从 2.10ms 增至 18.20ms，P99 从 3.40ms 增至 32.10ms。 数据来源：data/single.log；extracted_data.records[scenario=oltp_point_select]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on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图：只读 并发-QPS 曲线，横轴为以 2 为底的对数刻度。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只读（oltp_read_only）：并发 32→512，QPS 11,484.20→47,322.80（4.12 倍）；在已测档位中峰值位于 512 并发。1000 并发 QPS 为 45,088.40，较峰值下降 4.72%；P95 从 42.10ms 增至 320.10ms，P99 从 58.30ms 增至 458.20ms。 数据来源：data/single.log；extracted_data.records[scenario=oltp_read_only]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read_wr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图：混合读写 并发-QPS 曲线，横轴为以 2 为底的对数刻度。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混合读写（oltp_read_write）：并发 32→512，QPS 10,408.00→43,606.00（4.19 倍）；在已测档位中峰值位于 512 并发。1000 并发 QPS 为 41,016.00，较峰值下降 5.94%；P95 从 72.30ms 增至 512.30ms，P99 从 98.50ms 增至 748.40ms。 数据来源：data/single.log；extracted_data.records[scenario=oltp_read_write]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477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update_ind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图：索引更新 并发-QPS 曲线，横轴为以 2 为底的对数刻度。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索引更新（oltp_update_index）：并发 32→512，QPS 3,120.50→13,250.40（4.25 倍）；在已测档位中峰值位于 512 并发。1000 并发 QPS 为 12,820.10，较峰值下降 3.25%；P95 从 12.80ms 增至 88.40ms，P99 从 20.40ms 增至 152.30ms。 数据来源：data/single.log；extracted_data.records[scenario=oltp_update_index]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qps_oltp_write_on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图：写入 并发-QPS 曲线，横轴为以 2 为底的对数刻度。</w:t>
      </w:r>
    </w:p>
    <w:p>
      <w:pPr>
        <w:pBdr>
          <w:left w:val="single" w:sz="18" w:space="6" w:color="1971C2"/>
        </w:pBdr>
      </w:pPr>
      <w:r>
        <w:rPr>
          <w:rFonts w:ascii="微软雅黑" w:hAnsi="微软雅黑" w:eastAsia="微软雅黑"/>
          <w:b w:val="0"/>
        </w:rPr>
        <w:t>✅ L1 确定性结论 | 写入（oltp_write_only）：并发 32→512，QPS 14,460.30→60,362.40（4.17 倍）；在已测档位中峰值位于 512 并发。1000 并发 QPS 为 58,741.20，较峰值下降 2.69%；P95 从 8.40ms 增至 68.40ms，P99 从 14.20ms 增至 124.30ms。 数据来源：data/single.log；extracted_data.records[scenario=oltp_write_only]</w:t>
      </w:r>
    </w:p>
    <w:p>
      <w:pPr>
        <w:pStyle w:val="Heading2"/>
      </w:pPr>
      <w:r>
        <w:rPr>
          <w:rFonts w:ascii="微软雅黑" w:hAnsi="微软雅黑" w:eastAsia="微软雅黑"/>
          <w:b/>
        </w:rPr>
        <w:t>4.2 P95 延迟稳定性</w:t>
      </w:r>
    </w:p>
    <w:p>
      <w:r>
        <w:rPr>
          <w:rFonts w:ascii="微软雅黑" w:hAnsi="微软雅黑" w:eastAsia="微软雅黑"/>
          <w:b w:val="0"/>
        </w:rPr>
        <w:t>五个场景 P95 随并发升高而增加；每张图只展示相应场景，P99 完整保留于第 3 章。分位数是不同负载档位的汇总值，不构成重复运行的方差或置信区间。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477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point_sel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图：点查 并发-P95 曲线，单位 ms。</w:t>
      </w:r>
    </w:p>
    <w:p>
      <w:r>
        <w:rPr>
          <w:rFonts w:ascii="微软雅黑" w:hAnsi="微软雅黑" w:eastAsia="微软雅黑"/>
          <w:b w:val="0"/>
        </w:rPr>
        <w:t>点查：32 并发 P95=2.10ms；512 并发 P95=8.90ms；1000 并发 P95=18.20ms。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onl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图：只读 并发-P95 曲线，单位 ms。</w:t>
      </w:r>
    </w:p>
    <w:p>
      <w:r>
        <w:rPr>
          <w:rFonts w:ascii="微软雅黑" w:hAnsi="微软雅黑" w:eastAsia="微软雅黑"/>
          <w:b w:val="0"/>
        </w:rPr>
        <w:t>只读：32 并发 P95=42.10ms；512 并发 P95=158.40ms；1000 并发 P95=320.10ms。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read_wri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图：混合读写 并发-P95 曲线，单位 ms。</w:t>
      </w:r>
    </w:p>
    <w:p>
      <w:r>
        <w:rPr>
          <w:rFonts w:ascii="微软雅黑" w:hAnsi="微软雅黑" w:eastAsia="微软雅黑"/>
          <w:b w:val="0"/>
        </w:rPr>
        <w:t>混合读写：32 并发 P95=72.30ms；512 并发 P95=248.20ms；1000 并发 P95=512.30ms。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update_inde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图：索引更新 并发-P95 曲线，单位 ms。</w:t>
      </w:r>
    </w:p>
    <w:p>
      <w:r>
        <w:rPr>
          <w:rFonts w:ascii="微软雅黑" w:hAnsi="微软雅黑" w:eastAsia="微软雅黑"/>
          <w:b w:val="0"/>
        </w:rPr>
        <w:t>索引更新：32 并发 P95=12.80ms；512 并发 P95=42.80ms；1000 并发 P95=88.40ms。</w:t>
      </w:r>
    </w:p>
    <w:p>
      <w:pPr>
        <w:jc w:val="center"/>
      </w:pPr>
      <w:r>
        <w:rPr>
          <w:rFonts w:ascii="微软雅黑" w:hAnsi="微软雅黑" w:eastAsia="微软雅黑"/>
          <w:b w:val="0"/>
        </w:rPr>
        <w:drawing>
          <wp:inline xmlns:a="http://schemas.openxmlformats.org/drawingml/2006/main" xmlns:pic="http://schemas.openxmlformats.org/drawingml/2006/picture">
            <wp:extent cx="5580000" cy="34501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p95_oltp_write_onl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666666"/>
        </w:rPr>
        <w:t>图：写入 并发-P95 曲线，单位 ms。</w:t>
      </w:r>
    </w:p>
    <w:p>
      <w:r>
        <w:rPr>
          <w:rFonts w:ascii="微软雅黑" w:hAnsi="微软雅黑" w:eastAsia="微软雅黑"/>
          <w:b w:val="0"/>
        </w:rPr>
        <w:t>写入：32 并发 P95=8.40ms；512 并发 P95=32.50ms；1000 并发 P95=68.40ms。</w:t>
      </w:r>
    </w:p>
    <w:p>
      <w:pPr>
        <w:pStyle w:val="Heading1"/>
      </w:pPr>
      <w:r>
        <w:rPr>
          <w:rFonts w:ascii="微软雅黑" w:hAnsi="微软雅黑" w:eastAsia="微软雅黑"/>
          <w:b/>
        </w:rPr>
        <w:t>第 5 章 优化建议</w:t>
      </w:r>
    </w:p>
    <w:p>
      <w:pPr>
        <w:pStyle w:val="Heading2"/>
      </w:pPr>
      <w:r>
        <w:rPr>
          <w:rFonts w:ascii="微软雅黑" w:hAnsi="微软雅黑" w:eastAsia="微软雅黑"/>
          <w:b/>
        </w:rPr>
        <w:t>5.1 调优最佳实践</w:t>
      </w:r>
    </w:p>
    <w:p>
      <w:r>
        <w:rPr>
          <w:rFonts w:ascii="微软雅黑" w:hAnsi="微软雅黑" w:eastAsia="微软雅黑"/>
          <w:b w:val="0"/>
        </w:rPr>
        <w:t>以各场景实测吞吐和尾延迟共同选择负载档位：512 并发为本次吞吐峰值档，但不能直接作为生产连接池上限。结合实际业务延迟目标，优先复测 256、512、1000 附近的负载，补充 CPU、IO、锁等待、连接数与内存使用情况后再定位瓶颈。本日志没有支持 Buffer Pool 比例或数据库参数变更的证据，不给出未经测量的参数值。</w:t>
      </w:r>
    </w:p>
    <w:p>
      <w:pPr>
        <w:pStyle w:val="Heading2"/>
      </w:pPr>
      <w:r>
        <w:rPr>
          <w:rFonts w:ascii="微软雅黑" w:hAnsi="微软雅黑" w:eastAsia="微软雅黑"/>
          <w:b/>
        </w:rPr>
        <w:t>5.2 测试边界</w:t>
      </w:r>
    </w:p>
    <w:p>
      <w:r>
        <w:rPr>
          <w:rFonts w:ascii="微软雅黑" w:hAnsi="微软雅黑" w:eastAsia="微软雅黑"/>
          <w:b w:val="0"/>
        </w:rPr>
        <w:t>仅有单产品、单数据集、单次测试汇总；未提供重复试验、错误率、资源指标、硬件信息及 sysbench 版本。未覆盖 OLAP、复杂 JOIN、大字段或更大数据集。未给定业务 SLA，不能认定某档位满足生产要求。本报告仅报告已观测变化，不将高并发回落归因于某种未测量的资源。</w:t>
      </w:r>
    </w:p>
    <w:p>
      <w:pPr>
        <w:pStyle w:val="Heading1"/>
      </w:pPr>
      <w:r>
        <w:rPr>
          <w:rFonts w:ascii="微软雅黑" w:hAnsi="微软雅黑" w:eastAsia="微软雅黑"/>
          <w:b/>
        </w:rPr>
        <w:t>第 6 章 附录</w:t>
      </w:r>
    </w:p>
    <w:p>
      <w:pPr>
        <w:pStyle w:val="Heading2"/>
      </w:pPr>
      <w:r>
        <w:rPr>
          <w:rFonts w:ascii="微软雅黑" w:hAnsi="微软雅黑" w:eastAsia="微软雅黑"/>
          <w:b/>
        </w:rPr>
        <w:t>6.1 附录 A：sysbench 命令</w:t>
      </w:r>
    </w:p>
    <w:p>
      <w:r>
        <w:rPr>
          <w:rFonts w:ascii="微软雅黑" w:hAnsi="微软雅黑" w:eastAsia="微软雅黑"/>
          <w:b w:val="0"/>
        </w:rPr>
        <w:t>源日志未包含完整 sysbench 执行命令，无法还原。已知配置为 tables=16、table_size=1000000、prepare=true、Duration=300s，及上述场景和并发档。</w:t>
      </w:r>
    </w:p>
    <w:p>
      <w:pPr>
        <w:pStyle w:val="Heading2"/>
      </w:pPr>
      <w:r>
        <w:rPr>
          <w:rFonts w:ascii="微软雅黑" w:hAnsi="微软雅黑" w:eastAsia="微软雅黑"/>
          <w:b/>
        </w:rPr>
        <w:t>6.2 附录 B：原始数据来源</w:t>
      </w:r>
    </w:p>
    <w:p>
      <w:r>
        <w:rPr>
          <w:rFonts w:ascii="微软雅黑" w:hAnsi="微软雅黑" w:eastAsia="微软雅黑"/>
          <w:b w:val="0"/>
        </w:rPr>
        <w:t>唯一性能数据来源：data/single.log。标准化数据见 data/extracted_data.json，分析结果见 data/analysis_results.json，洞察见 data/insights.json。原始数值逐条核对，源日志的产品名、时间、端点、数据集和测试时长均保留；原输入与 Skill 的 SHA-256 核对清单见 data/input_hashes.json。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