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67023" w14:textId="429DA702" w:rsidR="009B6ABD" w:rsidRDefault="009B6ABD" w:rsidP="00F85890">
      <w:pPr>
        <w:pStyle w:val="Title"/>
        <w:jc w:val="center"/>
        <w:rPr>
          <w:rFonts w:ascii="Arial" w:hAnsi="Arial" w:cs="Arial"/>
          <w:sz w:val="40"/>
          <w:szCs w:val="40"/>
        </w:rPr>
      </w:pPr>
      <w:r w:rsidRPr="00F85890">
        <w:rPr>
          <w:rFonts w:ascii="Arial" w:hAnsi="Arial" w:cs="Arial"/>
          <w:sz w:val="40"/>
          <w:szCs w:val="40"/>
        </w:rPr>
        <w:t>Consumer Complaint Data Exploratory Analysis</w:t>
      </w:r>
    </w:p>
    <w:p w14:paraId="351CC428" w14:textId="77777777" w:rsidR="00180505" w:rsidRPr="00180505" w:rsidRDefault="00180505" w:rsidP="00180505"/>
    <w:p w14:paraId="521B0A21" w14:textId="2531EF44" w:rsidR="009B6ABD" w:rsidRPr="00311A58" w:rsidRDefault="009B6ABD" w:rsidP="000306EF">
      <w:pPr>
        <w:pStyle w:val="NoSpacing"/>
        <w:jc w:val="center"/>
        <w:rPr>
          <w:rFonts w:ascii="Arial" w:hAnsi="Arial" w:cs="Arial"/>
          <w:sz w:val="16"/>
          <w:szCs w:val="16"/>
        </w:rPr>
      </w:pPr>
      <w:r w:rsidRPr="00311A58">
        <w:rPr>
          <w:rFonts w:ascii="Arial" w:hAnsi="Arial" w:cs="Arial"/>
        </w:rPr>
        <w:t>Xixiang Chen</w:t>
      </w:r>
    </w:p>
    <w:p w14:paraId="5AB0C90F" w14:textId="2671CBE9" w:rsidR="009B6ABD" w:rsidRPr="00311A58" w:rsidRDefault="009B6ABD" w:rsidP="009B6ABD">
      <w:pPr>
        <w:pStyle w:val="Title"/>
        <w:rPr>
          <w:rFonts w:ascii="Arial" w:hAnsi="Arial" w:cs="Arial"/>
          <w:sz w:val="48"/>
          <w:szCs w:val="48"/>
        </w:rPr>
      </w:pPr>
      <w:r w:rsidRPr="00311A58">
        <w:rPr>
          <w:rFonts w:ascii="Arial" w:hAnsi="Arial" w:cs="Arial"/>
          <w:sz w:val="48"/>
          <w:szCs w:val="48"/>
        </w:rPr>
        <w:t xml:space="preserve"> </w:t>
      </w:r>
    </w:p>
    <w:p w14:paraId="1E899D4B" w14:textId="739D2F98" w:rsidR="000306EF" w:rsidRPr="00311A58" w:rsidRDefault="00A32534" w:rsidP="00311A58">
      <w:pPr>
        <w:autoSpaceDE w:val="0"/>
        <w:autoSpaceDN w:val="0"/>
        <w:adjustRightInd w:val="0"/>
        <w:spacing w:after="100" w:afterAutospacing="1" w:line="360" w:lineRule="auto"/>
        <w:jc w:val="both"/>
        <w:rPr>
          <w:rFonts w:ascii="Arial" w:hAnsi="Arial" w:cs="Arial"/>
        </w:rPr>
      </w:pPr>
      <w:r w:rsidRPr="00311A58">
        <w:rPr>
          <w:rFonts w:ascii="Arial" w:hAnsi="Arial" w:cs="Arial"/>
        </w:rPr>
        <w:t>T</w:t>
      </w:r>
      <w:r w:rsidR="000306EF" w:rsidRPr="00311A58">
        <w:rPr>
          <w:rFonts w:ascii="Arial" w:hAnsi="Arial" w:cs="Arial"/>
        </w:rPr>
        <w:t>he Consumer Financial Protection Bureau (CFPB)’s consumer complaint database is established for two goals: enforcing federal consumer protection laws more vigorously and analyzing consumers, financial services providers and market activities. Consumers can submit their complaints about different financial areas to the database. In this analysis report, the goal is to find out the top areas of consumer complaints from CFPB’s consumer complaint database and to provide suggestions based on the problems. The analysis figures out that the credit reporting issues account for almost half of the consumer complaints, and the major problems of credit reporting include:</w:t>
      </w:r>
    </w:p>
    <w:p w14:paraId="18CDE8B4" w14:textId="336D3DF1" w:rsidR="000306EF" w:rsidRPr="00311A58" w:rsidRDefault="000306EF" w:rsidP="00311A58">
      <w:pPr>
        <w:pStyle w:val="ListParagraph"/>
        <w:numPr>
          <w:ilvl w:val="0"/>
          <w:numId w:val="1"/>
        </w:numPr>
        <w:autoSpaceDE w:val="0"/>
        <w:autoSpaceDN w:val="0"/>
        <w:adjustRightInd w:val="0"/>
        <w:spacing w:after="0" w:line="360" w:lineRule="auto"/>
        <w:jc w:val="both"/>
        <w:rPr>
          <w:rFonts w:ascii="Arial" w:hAnsi="Arial" w:cs="Arial"/>
        </w:rPr>
      </w:pPr>
      <w:bookmarkStart w:id="0" w:name="_Hlk36991457"/>
      <w:r w:rsidRPr="00311A58">
        <w:rPr>
          <w:rFonts w:ascii="Arial" w:hAnsi="Arial" w:cs="Arial"/>
        </w:rPr>
        <w:t xml:space="preserve">Poor information </w:t>
      </w:r>
      <w:r w:rsidR="00CB1385" w:rsidRPr="00311A58">
        <w:rPr>
          <w:rFonts w:ascii="Arial" w:hAnsi="Arial" w:cs="Arial"/>
        </w:rPr>
        <w:t>management</w:t>
      </w:r>
    </w:p>
    <w:bookmarkEnd w:id="0"/>
    <w:p w14:paraId="73156EAE" w14:textId="77777777" w:rsidR="000306EF" w:rsidRPr="00311A58" w:rsidRDefault="000306EF" w:rsidP="00311A58">
      <w:pPr>
        <w:pStyle w:val="ListParagraph"/>
        <w:numPr>
          <w:ilvl w:val="0"/>
          <w:numId w:val="1"/>
        </w:numPr>
        <w:autoSpaceDE w:val="0"/>
        <w:autoSpaceDN w:val="0"/>
        <w:adjustRightInd w:val="0"/>
        <w:spacing w:after="0" w:line="360" w:lineRule="auto"/>
        <w:jc w:val="both"/>
        <w:rPr>
          <w:rFonts w:ascii="Arial" w:hAnsi="Arial" w:cs="Arial"/>
        </w:rPr>
      </w:pPr>
      <w:r w:rsidRPr="00311A58">
        <w:rPr>
          <w:rFonts w:ascii="Arial" w:hAnsi="Arial" w:cs="Arial"/>
        </w:rPr>
        <w:t xml:space="preserve">Unfair CFPB's rules </w:t>
      </w:r>
    </w:p>
    <w:p w14:paraId="1843EF57" w14:textId="77777777" w:rsidR="000306EF" w:rsidRPr="00311A58" w:rsidRDefault="000306EF" w:rsidP="00311A58">
      <w:pPr>
        <w:pStyle w:val="ListParagraph"/>
        <w:numPr>
          <w:ilvl w:val="0"/>
          <w:numId w:val="1"/>
        </w:numPr>
        <w:autoSpaceDE w:val="0"/>
        <w:autoSpaceDN w:val="0"/>
        <w:adjustRightInd w:val="0"/>
        <w:spacing w:after="0" w:line="360" w:lineRule="auto"/>
        <w:jc w:val="both"/>
        <w:rPr>
          <w:rFonts w:ascii="Arial" w:hAnsi="Arial" w:cs="Arial"/>
        </w:rPr>
      </w:pPr>
      <w:r w:rsidRPr="00311A58">
        <w:rPr>
          <w:rFonts w:ascii="Arial" w:hAnsi="Arial" w:cs="Arial"/>
        </w:rPr>
        <w:t>Communication problem</w:t>
      </w:r>
    </w:p>
    <w:p w14:paraId="3F9CBA61" w14:textId="477EBE7C" w:rsidR="000306EF" w:rsidRPr="00311A58" w:rsidRDefault="000306EF" w:rsidP="00311A58">
      <w:pPr>
        <w:pStyle w:val="ListParagraph"/>
        <w:numPr>
          <w:ilvl w:val="0"/>
          <w:numId w:val="1"/>
        </w:numPr>
        <w:autoSpaceDE w:val="0"/>
        <w:autoSpaceDN w:val="0"/>
        <w:adjustRightInd w:val="0"/>
        <w:spacing w:after="0" w:line="360" w:lineRule="auto"/>
        <w:jc w:val="both"/>
        <w:rPr>
          <w:rFonts w:ascii="Arial" w:hAnsi="Arial" w:cs="Arial"/>
        </w:rPr>
      </w:pPr>
      <w:r w:rsidRPr="00311A58">
        <w:rPr>
          <w:rFonts w:ascii="Arial" w:hAnsi="Arial" w:cs="Arial"/>
        </w:rPr>
        <w:t>Data transparency problem</w:t>
      </w:r>
    </w:p>
    <w:p w14:paraId="491CE80C" w14:textId="77777777" w:rsidR="000306EF" w:rsidRPr="00311A58" w:rsidRDefault="000306EF" w:rsidP="00311A58">
      <w:pPr>
        <w:autoSpaceDE w:val="0"/>
        <w:autoSpaceDN w:val="0"/>
        <w:adjustRightInd w:val="0"/>
        <w:spacing w:after="0" w:line="360" w:lineRule="auto"/>
        <w:jc w:val="both"/>
        <w:rPr>
          <w:rFonts w:ascii="Arial" w:hAnsi="Arial" w:cs="Arial"/>
        </w:rPr>
      </w:pPr>
    </w:p>
    <w:p w14:paraId="7209F540" w14:textId="6C595413" w:rsidR="000306EF" w:rsidRPr="00311A58" w:rsidRDefault="000306EF" w:rsidP="00311A58">
      <w:pPr>
        <w:autoSpaceDE w:val="0"/>
        <w:autoSpaceDN w:val="0"/>
        <w:adjustRightInd w:val="0"/>
        <w:spacing w:after="0" w:line="360" w:lineRule="auto"/>
        <w:jc w:val="both"/>
        <w:rPr>
          <w:rFonts w:ascii="Arial" w:hAnsi="Arial" w:cs="Arial"/>
        </w:rPr>
      </w:pPr>
      <w:r w:rsidRPr="00311A58">
        <w:rPr>
          <w:rFonts w:ascii="Arial" w:hAnsi="Arial" w:cs="Arial"/>
        </w:rPr>
        <w:t>A closer look at the credit reporting issue data can help to potentially improve market efficiency and reduce consumer complaints.</w:t>
      </w:r>
    </w:p>
    <w:p w14:paraId="76A87612" w14:textId="336833EC" w:rsidR="000306EF" w:rsidRPr="00311A58" w:rsidRDefault="000306EF" w:rsidP="00A32534">
      <w:pPr>
        <w:autoSpaceDE w:val="0"/>
        <w:autoSpaceDN w:val="0"/>
        <w:adjustRightInd w:val="0"/>
        <w:spacing w:after="0" w:line="240" w:lineRule="auto"/>
        <w:jc w:val="both"/>
        <w:rPr>
          <w:rFonts w:ascii="Arial" w:hAnsi="Arial" w:cs="Arial"/>
        </w:rPr>
      </w:pPr>
      <w:r w:rsidRPr="00311A58">
        <w:rPr>
          <w:rFonts w:ascii="Arial" w:hAnsi="Arial" w:cs="Arial"/>
        </w:rPr>
        <w:t xml:space="preserve"> </w:t>
      </w:r>
    </w:p>
    <w:p w14:paraId="74932622" w14:textId="421BF26A" w:rsidR="00311A58" w:rsidRPr="00B90E48" w:rsidRDefault="009B6ABD" w:rsidP="00B90E48">
      <w:pPr>
        <w:pStyle w:val="Heading1"/>
        <w:spacing w:before="600" w:after="120"/>
        <w:jc w:val="both"/>
        <w:rPr>
          <w:rFonts w:ascii="Arial" w:hAnsi="Arial" w:cs="Arial"/>
        </w:rPr>
      </w:pPr>
      <w:r w:rsidRPr="00311A58">
        <w:rPr>
          <w:rFonts w:ascii="Arial" w:hAnsi="Arial" w:cs="Arial"/>
        </w:rPr>
        <w:t>Overview: Credit Reporting issues driving the majority of the</w:t>
      </w:r>
      <w:r w:rsidR="00A32534" w:rsidRPr="00311A58">
        <w:rPr>
          <w:rFonts w:ascii="Arial" w:hAnsi="Arial" w:cs="Arial"/>
        </w:rPr>
        <w:t xml:space="preserve"> </w:t>
      </w:r>
      <w:r w:rsidRPr="00311A58">
        <w:rPr>
          <w:rFonts w:ascii="Arial" w:hAnsi="Arial" w:cs="Arial"/>
        </w:rPr>
        <w:t>complaints from M</w:t>
      </w:r>
      <w:r w:rsidR="00CE18A7" w:rsidRPr="00311A58">
        <w:rPr>
          <w:rFonts w:ascii="Arial" w:hAnsi="Arial" w:cs="Arial"/>
        </w:rPr>
        <w:t>ay</w:t>
      </w:r>
      <w:r w:rsidRPr="00311A58">
        <w:rPr>
          <w:rFonts w:ascii="Arial" w:hAnsi="Arial" w:cs="Arial"/>
        </w:rPr>
        <w:t xml:space="preserve"> 2017</w:t>
      </w:r>
    </w:p>
    <w:p w14:paraId="6670F7BA" w14:textId="0E1EC7A0" w:rsidR="009B6ABD" w:rsidRPr="00311A58" w:rsidRDefault="009B6ABD" w:rsidP="00311A58">
      <w:pPr>
        <w:spacing w:line="360" w:lineRule="auto"/>
        <w:jc w:val="both"/>
        <w:rPr>
          <w:rFonts w:ascii="Arial" w:hAnsi="Arial" w:cs="Arial"/>
        </w:rPr>
      </w:pPr>
      <w:r w:rsidRPr="00311A58">
        <w:rPr>
          <w:rFonts w:ascii="Arial" w:hAnsi="Arial" w:cs="Arial"/>
        </w:rPr>
        <w:t>Th</w:t>
      </w:r>
      <w:r w:rsidR="005827BD" w:rsidRPr="00311A58">
        <w:rPr>
          <w:rFonts w:ascii="Arial" w:hAnsi="Arial" w:cs="Arial"/>
        </w:rPr>
        <w:t>e original data</w:t>
      </w:r>
      <w:r w:rsidR="00CE18A7" w:rsidRPr="00311A58">
        <w:rPr>
          <w:rFonts w:ascii="Arial" w:hAnsi="Arial" w:cs="Arial"/>
        </w:rPr>
        <w:t>set</w:t>
      </w:r>
      <w:r w:rsidR="005827BD" w:rsidRPr="00311A58">
        <w:rPr>
          <w:rFonts w:ascii="Arial" w:hAnsi="Arial" w:cs="Arial"/>
        </w:rPr>
        <w:t xml:space="preserve"> was downloaded from the Consumer Financial Prote</w:t>
      </w:r>
      <w:r w:rsidR="00CE18A7" w:rsidRPr="00311A58">
        <w:rPr>
          <w:rFonts w:ascii="Arial" w:hAnsi="Arial" w:cs="Arial"/>
        </w:rPr>
        <w:t>c</w:t>
      </w:r>
      <w:r w:rsidR="005827BD" w:rsidRPr="00311A58">
        <w:rPr>
          <w:rFonts w:ascii="Arial" w:hAnsi="Arial" w:cs="Arial"/>
        </w:rPr>
        <w:t>tion Co</w:t>
      </w:r>
      <w:r w:rsidR="00CE18A7" w:rsidRPr="00311A58">
        <w:rPr>
          <w:rFonts w:ascii="Arial" w:hAnsi="Arial" w:cs="Arial"/>
        </w:rPr>
        <w:t>m</w:t>
      </w:r>
      <w:r w:rsidR="005827BD" w:rsidRPr="00311A58">
        <w:rPr>
          <w:rFonts w:ascii="Arial" w:hAnsi="Arial" w:cs="Arial"/>
        </w:rPr>
        <w:t>plaint Database</w:t>
      </w:r>
      <w:r w:rsidR="00CE18A7" w:rsidRPr="00311A58">
        <w:rPr>
          <w:rFonts w:ascii="Arial" w:hAnsi="Arial" w:cs="Arial"/>
        </w:rPr>
        <w:t>. The dataset contains 17 variables and 774,859 observations, date starting from 05/01/2017.</w:t>
      </w:r>
    </w:p>
    <w:p w14:paraId="446AB797" w14:textId="2B9DF080" w:rsidR="00FA340B" w:rsidRDefault="00FA340B" w:rsidP="00311A58">
      <w:pPr>
        <w:spacing w:line="360" w:lineRule="auto"/>
        <w:jc w:val="both"/>
        <w:rPr>
          <w:rFonts w:ascii="Arial" w:hAnsi="Arial" w:cs="Arial"/>
        </w:rPr>
      </w:pPr>
      <w:r w:rsidRPr="00311A58">
        <w:rPr>
          <w:rFonts w:ascii="Arial" w:hAnsi="Arial" w:cs="Arial"/>
        </w:rPr>
        <w:t>Consumer complaints can be divided into nine types of products. The number of different product types is shown as followed.</w:t>
      </w:r>
    </w:p>
    <w:p w14:paraId="65201A4A" w14:textId="1B9D8724" w:rsidR="00180505" w:rsidRDefault="00180505" w:rsidP="00311A58">
      <w:pPr>
        <w:spacing w:line="360" w:lineRule="auto"/>
        <w:jc w:val="both"/>
        <w:rPr>
          <w:rFonts w:ascii="Arial" w:hAnsi="Arial" w:cs="Arial"/>
        </w:rPr>
      </w:pPr>
    </w:p>
    <w:p w14:paraId="05562608" w14:textId="77777777" w:rsidR="00180505" w:rsidRPr="00311A58" w:rsidRDefault="00180505" w:rsidP="00311A58">
      <w:pPr>
        <w:spacing w:line="360" w:lineRule="auto"/>
        <w:jc w:val="both"/>
        <w:rPr>
          <w:rFonts w:ascii="Arial" w:hAnsi="Arial" w:cs="Arial"/>
        </w:rPr>
      </w:pPr>
      <w:bookmarkStart w:id="1" w:name="_GoBack"/>
      <w:bookmarkEnd w:id="1"/>
    </w:p>
    <w:p w14:paraId="5158B3FE" w14:textId="77777777" w:rsidR="00311A58" w:rsidRDefault="00311A58" w:rsidP="00D074AF">
      <w:pPr>
        <w:spacing w:after="0" w:line="240" w:lineRule="auto"/>
        <w:rPr>
          <w:rFonts w:ascii="Arial" w:hAnsi="Arial" w:cs="Arial"/>
          <w:b/>
          <w:bCs/>
        </w:rPr>
      </w:pPr>
    </w:p>
    <w:p w14:paraId="048E8B7C" w14:textId="62BABEF3" w:rsidR="00FA340B" w:rsidRDefault="000306EF" w:rsidP="00D074AF">
      <w:pPr>
        <w:spacing w:after="0" w:line="240" w:lineRule="auto"/>
        <w:rPr>
          <w:rFonts w:ascii="Arial" w:hAnsi="Arial" w:cs="Arial"/>
          <w:b/>
          <w:bCs/>
        </w:rPr>
      </w:pPr>
      <w:r w:rsidRPr="00311A58">
        <w:rPr>
          <w:rFonts w:ascii="Arial" w:hAnsi="Arial" w:cs="Arial"/>
          <w:b/>
          <w:bCs/>
        </w:rPr>
        <w:t>Table 1: Counts of Product Type</w:t>
      </w:r>
    </w:p>
    <w:p w14:paraId="313C6265" w14:textId="77777777" w:rsidR="00311A58" w:rsidRPr="00311A58" w:rsidRDefault="00311A58" w:rsidP="00D074AF">
      <w:pPr>
        <w:spacing w:after="0" w:line="240" w:lineRule="auto"/>
        <w:rPr>
          <w:rFonts w:ascii="Arial" w:hAnsi="Arial" w:cs="Arial"/>
          <w:b/>
          <w:bCs/>
        </w:rPr>
      </w:pPr>
    </w:p>
    <w:tbl>
      <w:tblPr>
        <w:tblStyle w:val="PlainTable5"/>
        <w:tblW w:w="0" w:type="auto"/>
        <w:jc w:val="center"/>
        <w:tblLook w:val="04A0" w:firstRow="1" w:lastRow="0" w:firstColumn="1" w:lastColumn="0" w:noHBand="0" w:noVBand="1"/>
      </w:tblPr>
      <w:tblGrid>
        <w:gridCol w:w="6660"/>
        <w:gridCol w:w="1170"/>
      </w:tblGrid>
      <w:tr w:rsidR="00FA340B" w:rsidRPr="00311A58" w14:paraId="6D580A9C" w14:textId="77777777" w:rsidTr="00FA34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6660" w:type="dxa"/>
          </w:tcPr>
          <w:p w14:paraId="02EE348C" w14:textId="5CCDA823" w:rsidR="00FA340B" w:rsidRPr="00311A58" w:rsidRDefault="00FA340B" w:rsidP="00FA340B">
            <w:pPr>
              <w:pStyle w:val="HTMLPreformatted"/>
              <w:shd w:val="clear" w:color="auto" w:fill="FFFFFF"/>
              <w:wordWrap w:val="0"/>
              <w:jc w:val="center"/>
              <w:rPr>
                <w:rFonts w:ascii="Arial" w:hAnsi="Arial" w:cs="Arial"/>
                <w:b/>
                <w:bCs/>
                <w:i w:val="0"/>
                <w:iCs w:val="0"/>
              </w:rPr>
            </w:pPr>
            <w:r w:rsidRPr="00311A58">
              <w:rPr>
                <w:rFonts w:ascii="Arial" w:hAnsi="Arial" w:cs="Arial"/>
                <w:b/>
                <w:bCs/>
                <w:i w:val="0"/>
                <w:iCs w:val="0"/>
              </w:rPr>
              <w:t>Product Type</w:t>
            </w:r>
          </w:p>
        </w:tc>
        <w:tc>
          <w:tcPr>
            <w:tcW w:w="1170" w:type="dxa"/>
          </w:tcPr>
          <w:p w14:paraId="07629E1A" w14:textId="142BA8D7" w:rsidR="00FA340B" w:rsidRPr="00311A58" w:rsidRDefault="00FA340B" w:rsidP="00FA340B">
            <w:pPr>
              <w:pStyle w:val="HTMLPreformatted"/>
              <w:shd w:val="clear" w:color="auto" w:fill="FFFFFF"/>
              <w:wordWrap w:val="0"/>
              <w:jc w:val="center"/>
              <w:cnfStyle w:val="100000000000" w:firstRow="1" w:lastRow="0" w:firstColumn="0" w:lastColumn="0" w:oddVBand="0" w:evenVBand="0" w:oddHBand="0" w:evenHBand="0" w:firstRowFirstColumn="0" w:firstRowLastColumn="0" w:lastRowFirstColumn="0" w:lastRowLastColumn="0"/>
              <w:rPr>
                <w:rFonts w:ascii="Arial" w:hAnsi="Arial" w:cs="Arial"/>
                <w:b/>
                <w:bCs/>
                <w:i w:val="0"/>
                <w:iCs w:val="0"/>
              </w:rPr>
            </w:pPr>
            <w:r w:rsidRPr="00311A58">
              <w:rPr>
                <w:rFonts w:ascii="Arial" w:hAnsi="Arial" w:cs="Arial"/>
                <w:b/>
                <w:bCs/>
                <w:i w:val="0"/>
                <w:iCs w:val="0"/>
              </w:rPr>
              <w:t>Counts</w:t>
            </w:r>
          </w:p>
        </w:tc>
      </w:tr>
      <w:tr w:rsidR="00FA340B" w:rsidRPr="00311A58" w14:paraId="23549409" w14:textId="77777777" w:rsidTr="00A3253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28B90638" w14:textId="6923FE9D"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Credit reporting, credit repair services, or other personal consumer reports</w:t>
            </w:r>
          </w:p>
        </w:tc>
        <w:tc>
          <w:tcPr>
            <w:tcW w:w="1170" w:type="dxa"/>
            <w:shd w:val="clear" w:color="auto" w:fill="auto"/>
          </w:tcPr>
          <w:p w14:paraId="5D305C5F" w14:textId="24EBB590" w:rsidR="00FA340B" w:rsidRPr="00311A58" w:rsidRDefault="00FA340B" w:rsidP="00FA340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11A58">
              <w:rPr>
                <w:rFonts w:ascii="Arial" w:hAnsi="Arial" w:cs="Arial"/>
              </w:rPr>
              <w:t>364032</w:t>
            </w:r>
          </w:p>
        </w:tc>
      </w:tr>
      <w:tr w:rsidR="00FA340B" w:rsidRPr="00311A58" w14:paraId="3F320749" w14:textId="77777777" w:rsidTr="00A32534">
        <w:trPr>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7EBFE9D8" w14:textId="7CB93B47"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Debt collection</w:t>
            </w:r>
          </w:p>
        </w:tc>
        <w:tc>
          <w:tcPr>
            <w:tcW w:w="1170" w:type="dxa"/>
            <w:shd w:val="clear" w:color="auto" w:fill="auto"/>
          </w:tcPr>
          <w:p w14:paraId="237AF5BD" w14:textId="01A117B4" w:rsidR="00FA340B" w:rsidRPr="00311A58" w:rsidRDefault="00FA340B" w:rsidP="00FA340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11A58">
              <w:rPr>
                <w:rFonts w:ascii="Arial" w:hAnsi="Arial" w:cs="Arial"/>
              </w:rPr>
              <w:t>140140</w:t>
            </w:r>
          </w:p>
        </w:tc>
      </w:tr>
      <w:tr w:rsidR="00FA340B" w:rsidRPr="00311A58" w14:paraId="342C57C4" w14:textId="77777777" w:rsidTr="00A3253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7D4E5B20" w14:textId="2DB465FC"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Credit card or prepaid card</w:t>
            </w:r>
          </w:p>
        </w:tc>
        <w:tc>
          <w:tcPr>
            <w:tcW w:w="1170" w:type="dxa"/>
            <w:shd w:val="clear" w:color="auto" w:fill="auto"/>
          </w:tcPr>
          <w:p w14:paraId="420AD223" w14:textId="1C170552" w:rsidR="00FA340B" w:rsidRPr="00311A58" w:rsidRDefault="00FA340B" w:rsidP="00FA340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11A58">
              <w:rPr>
                <w:rFonts w:ascii="Arial" w:hAnsi="Arial" w:cs="Arial"/>
              </w:rPr>
              <w:t>71536</w:t>
            </w:r>
          </w:p>
        </w:tc>
      </w:tr>
      <w:tr w:rsidR="00FA340B" w:rsidRPr="00311A58" w14:paraId="1026FB2E" w14:textId="77777777" w:rsidTr="00A32534">
        <w:trPr>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242FC5E2" w14:textId="1BEEA81F"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Mortgage</w:t>
            </w:r>
          </w:p>
        </w:tc>
        <w:tc>
          <w:tcPr>
            <w:tcW w:w="1170" w:type="dxa"/>
            <w:shd w:val="clear" w:color="auto" w:fill="auto"/>
          </w:tcPr>
          <w:p w14:paraId="57C7341C" w14:textId="3A33E5B8" w:rsidR="00FA340B" w:rsidRPr="00311A58" w:rsidRDefault="00FA340B" w:rsidP="00FA340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11A58">
              <w:rPr>
                <w:rFonts w:ascii="Arial" w:hAnsi="Arial" w:cs="Arial"/>
              </w:rPr>
              <w:t>70957</w:t>
            </w:r>
          </w:p>
        </w:tc>
      </w:tr>
      <w:tr w:rsidR="00FA340B" w:rsidRPr="00311A58" w14:paraId="7455F1DE" w14:textId="77777777" w:rsidTr="00A3253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427EC17E" w14:textId="2EE82C0D"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Checking or savings account</w:t>
            </w:r>
          </w:p>
        </w:tc>
        <w:tc>
          <w:tcPr>
            <w:tcW w:w="1170" w:type="dxa"/>
            <w:shd w:val="clear" w:color="auto" w:fill="auto"/>
          </w:tcPr>
          <w:p w14:paraId="13D1D7F1" w14:textId="74009B65" w:rsidR="00FA340B" w:rsidRPr="00311A58" w:rsidRDefault="00FA340B" w:rsidP="00FA340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11A58">
              <w:rPr>
                <w:rFonts w:ascii="Arial" w:hAnsi="Arial" w:cs="Arial"/>
              </w:rPr>
              <w:t>60188</w:t>
            </w:r>
          </w:p>
        </w:tc>
      </w:tr>
      <w:tr w:rsidR="00FA340B" w:rsidRPr="00311A58" w14:paraId="1B45BF8E" w14:textId="77777777" w:rsidTr="00A32534">
        <w:trPr>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202CD021" w14:textId="193F5D3A"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Student loan</w:t>
            </w:r>
          </w:p>
        </w:tc>
        <w:tc>
          <w:tcPr>
            <w:tcW w:w="1170" w:type="dxa"/>
            <w:shd w:val="clear" w:color="auto" w:fill="auto"/>
          </w:tcPr>
          <w:p w14:paraId="72394CD7" w14:textId="5656683A" w:rsidR="00FA340B" w:rsidRPr="00311A58" w:rsidRDefault="00FA340B" w:rsidP="00FA340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11A58">
              <w:rPr>
                <w:rFonts w:ascii="Arial" w:hAnsi="Arial" w:cs="Arial"/>
              </w:rPr>
              <w:t>24429</w:t>
            </w:r>
          </w:p>
        </w:tc>
      </w:tr>
      <w:tr w:rsidR="00FA340B" w:rsidRPr="00311A58" w14:paraId="687F24C2" w14:textId="77777777" w:rsidTr="00A3253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5DD27058" w14:textId="68E73CE5"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Vehicle loan or lease</w:t>
            </w:r>
          </w:p>
        </w:tc>
        <w:tc>
          <w:tcPr>
            <w:tcW w:w="1170" w:type="dxa"/>
            <w:shd w:val="clear" w:color="auto" w:fill="auto"/>
          </w:tcPr>
          <w:p w14:paraId="6D2CBDED" w14:textId="4BE960B2" w:rsidR="00FA340B" w:rsidRPr="00311A58" w:rsidRDefault="00FA340B" w:rsidP="00FA340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11A58">
              <w:rPr>
                <w:rFonts w:ascii="Arial" w:hAnsi="Arial" w:cs="Arial"/>
              </w:rPr>
              <w:t>16247</w:t>
            </w:r>
          </w:p>
        </w:tc>
      </w:tr>
      <w:tr w:rsidR="00FA340B" w:rsidRPr="00311A58" w14:paraId="24CEF8E2" w14:textId="77777777" w:rsidTr="00A32534">
        <w:trPr>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70B20376" w14:textId="3B668776"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Money transfer, virtual currency, or money service</w:t>
            </w:r>
          </w:p>
        </w:tc>
        <w:tc>
          <w:tcPr>
            <w:tcW w:w="1170" w:type="dxa"/>
            <w:shd w:val="clear" w:color="auto" w:fill="auto"/>
          </w:tcPr>
          <w:p w14:paraId="783BAFAA" w14:textId="532F6E85" w:rsidR="00FA340B" w:rsidRPr="00311A58" w:rsidRDefault="00FA340B" w:rsidP="00FA340B">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311A58">
              <w:rPr>
                <w:rFonts w:ascii="Arial" w:hAnsi="Arial" w:cs="Arial"/>
              </w:rPr>
              <w:t>14829</w:t>
            </w:r>
          </w:p>
        </w:tc>
      </w:tr>
      <w:tr w:rsidR="00FA340B" w:rsidRPr="00311A58" w14:paraId="1341A937" w14:textId="77777777" w:rsidTr="00A3253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60" w:type="dxa"/>
          </w:tcPr>
          <w:p w14:paraId="2B25A236" w14:textId="24FBBF51" w:rsidR="00FA340B" w:rsidRPr="00311A58" w:rsidRDefault="00FA340B" w:rsidP="00FA340B">
            <w:pPr>
              <w:pStyle w:val="HTMLPreformatted"/>
              <w:shd w:val="clear" w:color="auto" w:fill="FFFFFF"/>
              <w:wordWrap w:val="0"/>
              <w:jc w:val="left"/>
              <w:rPr>
                <w:rFonts w:ascii="Arial" w:hAnsi="Arial" w:cs="Arial"/>
                <w:i w:val="0"/>
                <w:iCs w:val="0"/>
              </w:rPr>
            </w:pPr>
            <w:r w:rsidRPr="00311A58">
              <w:rPr>
                <w:rFonts w:ascii="Arial" w:hAnsi="Arial" w:cs="Arial"/>
                <w:i w:val="0"/>
                <w:iCs w:val="0"/>
              </w:rPr>
              <w:t>Payday loan, title loan, or personal loan</w:t>
            </w:r>
          </w:p>
        </w:tc>
        <w:tc>
          <w:tcPr>
            <w:tcW w:w="1170" w:type="dxa"/>
            <w:shd w:val="clear" w:color="auto" w:fill="auto"/>
          </w:tcPr>
          <w:p w14:paraId="5DCCC22A" w14:textId="5DAFC6B2" w:rsidR="00FA340B" w:rsidRPr="00311A58" w:rsidRDefault="00FA340B" w:rsidP="00FA340B">
            <w:pPr>
              <w:pStyle w:val="HTMLPreformatted"/>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311A58">
              <w:rPr>
                <w:rFonts w:ascii="Arial" w:hAnsi="Arial" w:cs="Arial"/>
              </w:rPr>
              <w:t>12501</w:t>
            </w:r>
          </w:p>
        </w:tc>
      </w:tr>
    </w:tbl>
    <w:p w14:paraId="23C1F402" w14:textId="77777777" w:rsidR="00311A58" w:rsidRDefault="00311A58" w:rsidP="009B6ABD">
      <w:pPr>
        <w:rPr>
          <w:rFonts w:ascii="Arial" w:hAnsi="Arial" w:cs="Arial"/>
          <w:b/>
          <w:bCs/>
        </w:rPr>
      </w:pPr>
    </w:p>
    <w:p w14:paraId="4841F930" w14:textId="4C2ADF36" w:rsidR="00FA340B" w:rsidRPr="00311A58" w:rsidRDefault="000306EF" w:rsidP="009B6ABD">
      <w:pPr>
        <w:rPr>
          <w:rFonts w:ascii="Arial" w:hAnsi="Arial" w:cs="Arial"/>
          <w:b/>
          <w:bCs/>
        </w:rPr>
      </w:pPr>
      <w:r w:rsidRPr="00311A58">
        <w:rPr>
          <w:rFonts w:ascii="Arial" w:hAnsi="Arial" w:cs="Arial"/>
          <w:b/>
          <w:bCs/>
        </w:rPr>
        <w:t>Figure 1: counts of Product Type</w:t>
      </w:r>
    </w:p>
    <w:p w14:paraId="29C1F50D" w14:textId="10E2B570" w:rsidR="000306EF" w:rsidRPr="00311A58" w:rsidRDefault="00FA340B" w:rsidP="000306EF">
      <w:pPr>
        <w:jc w:val="right"/>
        <w:rPr>
          <w:rFonts w:ascii="Arial" w:hAnsi="Arial" w:cs="Arial"/>
        </w:rPr>
      </w:pPr>
      <w:r w:rsidRPr="00311A58">
        <w:rPr>
          <w:rFonts w:ascii="Arial" w:hAnsi="Arial" w:cs="Arial"/>
          <w:noProof/>
        </w:rPr>
        <w:drawing>
          <wp:inline distT="0" distB="0" distL="0" distR="0" wp14:anchorId="73D4DE3F" wp14:editId="103129F3">
            <wp:extent cx="4258641" cy="255589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999" r="6667"/>
                    <a:stretch/>
                  </pic:blipFill>
                  <pic:spPr bwMode="auto">
                    <a:xfrm>
                      <a:off x="0" y="0"/>
                      <a:ext cx="4516777" cy="2710814"/>
                    </a:xfrm>
                    <a:prstGeom prst="rect">
                      <a:avLst/>
                    </a:prstGeom>
                    <a:ln>
                      <a:noFill/>
                    </a:ln>
                    <a:extLst>
                      <a:ext uri="{53640926-AAD7-44D8-BBD7-CCE9431645EC}">
                        <a14:shadowObscured xmlns:a14="http://schemas.microsoft.com/office/drawing/2010/main"/>
                      </a:ext>
                    </a:extLst>
                  </pic:spPr>
                </pic:pic>
              </a:graphicData>
            </a:graphic>
          </wp:inline>
        </w:drawing>
      </w:r>
    </w:p>
    <w:p w14:paraId="54B46992" w14:textId="39FB55D6" w:rsidR="000306EF" w:rsidRPr="00311A58" w:rsidRDefault="00FA340B" w:rsidP="00311A58">
      <w:pPr>
        <w:spacing w:line="360" w:lineRule="auto"/>
        <w:jc w:val="both"/>
        <w:rPr>
          <w:rFonts w:ascii="Arial" w:hAnsi="Arial" w:cs="Arial"/>
        </w:rPr>
      </w:pPr>
      <w:r w:rsidRPr="00311A58">
        <w:rPr>
          <w:rFonts w:ascii="Arial" w:hAnsi="Arial" w:cs="Arial"/>
        </w:rPr>
        <w:t>From Figure 1, we can see that almost 50% of the consumer complaints are about credit reporting issues.</w:t>
      </w:r>
      <w:r w:rsidR="000306EF" w:rsidRPr="00311A58">
        <w:rPr>
          <w:rFonts w:ascii="Arial" w:hAnsi="Arial" w:cs="Arial"/>
        </w:rPr>
        <w:t xml:space="preserve"> We also use the consumer complaint narratives to do natural language processing to find out the top topic about the complaints. The result is shown as a word cloud </w:t>
      </w:r>
      <w:proofErr w:type="gramStart"/>
      <w:r w:rsidR="000306EF" w:rsidRPr="00311A58">
        <w:rPr>
          <w:rFonts w:ascii="Arial" w:hAnsi="Arial" w:cs="Arial"/>
        </w:rPr>
        <w:t>figure(</w:t>
      </w:r>
      <w:proofErr w:type="gramEnd"/>
      <w:r w:rsidR="000306EF" w:rsidRPr="00311A58">
        <w:rPr>
          <w:rFonts w:ascii="Arial" w:hAnsi="Arial" w:cs="Arial"/>
        </w:rPr>
        <w:t xml:space="preserve">Figure 2). In the figure, the more frequent the word shows in narratives, the larger the word shows in the figure. </w:t>
      </w:r>
    </w:p>
    <w:p w14:paraId="4E86A210" w14:textId="77777777" w:rsidR="00311A58" w:rsidRDefault="00311A58" w:rsidP="00FA340B">
      <w:pPr>
        <w:rPr>
          <w:rFonts w:ascii="Arial" w:hAnsi="Arial" w:cs="Arial"/>
          <w:b/>
          <w:bCs/>
        </w:rPr>
      </w:pPr>
    </w:p>
    <w:p w14:paraId="1FA93E36" w14:textId="77777777" w:rsidR="00311A58" w:rsidRDefault="00311A58" w:rsidP="00FA340B">
      <w:pPr>
        <w:rPr>
          <w:rFonts w:ascii="Arial" w:hAnsi="Arial" w:cs="Arial"/>
          <w:b/>
          <w:bCs/>
        </w:rPr>
      </w:pPr>
    </w:p>
    <w:p w14:paraId="1AD1DB97" w14:textId="77777777" w:rsidR="00311A58" w:rsidRDefault="00311A58" w:rsidP="00FA340B">
      <w:pPr>
        <w:rPr>
          <w:rFonts w:ascii="Arial" w:hAnsi="Arial" w:cs="Arial"/>
          <w:b/>
          <w:bCs/>
        </w:rPr>
      </w:pPr>
    </w:p>
    <w:p w14:paraId="173CECAB" w14:textId="77777777" w:rsidR="00311A58" w:rsidRDefault="00311A58" w:rsidP="00FA340B">
      <w:pPr>
        <w:rPr>
          <w:rFonts w:ascii="Arial" w:hAnsi="Arial" w:cs="Arial"/>
          <w:b/>
          <w:bCs/>
        </w:rPr>
      </w:pPr>
    </w:p>
    <w:p w14:paraId="74DDB8FA" w14:textId="77777777" w:rsidR="00311A58" w:rsidRDefault="00311A58" w:rsidP="00FA340B">
      <w:pPr>
        <w:rPr>
          <w:rFonts w:ascii="Arial" w:hAnsi="Arial" w:cs="Arial"/>
          <w:b/>
          <w:bCs/>
        </w:rPr>
      </w:pPr>
    </w:p>
    <w:p w14:paraId="3287C71F" w14:textId="77777777" w:rsidR="00311A58" w:rsidRDefault="00311A58" w:rsidP="00FA340B">
      <w:pPr>
        <w:rPr>
          <w:rFonts w:ascii="Arial" w:hAnsi="Arial" w:cs="Arial"/>
          <w:b/>
          <w:bCs/>
        </w:rPr>
      </w:pPr>
    </w:p>
    <w:p w14:paraId="556BAFE4" w14:textId="1DEEBA5E" w:rsidR="000306EF" w:rsidRDefault="000306EF" w:rsidP="00FA340B">
      <w:pPr>
        <w:rPr>
          <w:rFonts w:ascii="Arial" w:hAnsi="Arial" w:cs="Arial"/>
          <w:b/>
          <w:bCs/>
        </w:rPr>
      </w:pPr>
      <w:r w:rsidRPr="00311A58">
        <w:rPr>
          <w:rFonts w:ascii="Arial" w:hAnsi="Arial" w:cs="Arial"/>
          <w:b/>
          <w:bCs/>
        </w:rPr>
        <w:lastRenderedPageBreak/>
        <w:t>Figure 2: word cloud of complaint narratives.</w:t>
      </w:r>
    </w:p>
    <w:p w14:paraId="6A707446" w14:textId="77777777" w:rsidR="00311A58" w:rsidRPr="00311A58" w:rsidRDefault="00311A58" w:rsidP="00FA340B">
      <w:pPr>
        <w:rPr>
          <w:rFonts w:ascii="Arial" w:hAnsi="Arial" w:cs="Arial"/>
          <w:b/>
          <w:bCs/>
        </w:rPr>
      </w:pPr>
    </w:p>
    <w:p w14:paraId="3B5BD6F8" w14:textId="7B1A7D2A" w:rsidR="000306EF" w:rsidRPr="00311A58" w:rsidRDefault="000306EF" w:rsidP="000306EF">
      <w:pPr>
        <w:jc w:val="center"/>
        <w:rPr>
          <w:rFonts w:ascii="Arial" w:hAnsi="Arial" w:cs="Arial"/>
          <w:b/>
          <w:bCs/>
        </w:rPr>
      </w:pPr>
      <w:r w:rsidRPr="00311A58">
        <w:rPr>
          <w:rFonts w:ascii="Arial" w:hAnsi="Arial" w:cs="Arial"/>
          <w:b/>
          <w:bCs/>
          <w:noProof/>
        </w:rPr>
        <w:drawing>
          <wp:inline distT="0" distB="0" distL="0" distR="0" wp14:anchorId="4240B68F" wp14:editId="2FA97A36">
            <wp:extent cx="4846320" cy="29077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cloudwhite.png"/>
                    <pic:cNvPicPr/>
                  </pic:nvPicPr>
                  <pic:blipFill>
                    <a:blip r:embed="rId9">
                      <a:extLst>
                        <a:ext uri="{28A0092B-C50C-407E-A947-70E740481C1C}">
                          <a14:useLocalDpi xmlns:a14="http://schemas.microsoft.com/office/drawing/2010/main" val="0"/>
                        </a:ext>
                      </a:extLst>
                    </a:blip>
                    <a:stretch>
                      <a:fillRect/>
                    </a:stretch>
                  </pic:blipFill>
                  <pic:spPr>
                    <a:xfrm>
                      <a:off x="0" y="0"/>
                      <a:ext cx="4857700" cy="2914620"/>
                    </a:xfrm>
                    <a:prstGeom prst="rect">
                      <a:avLst/>
                    </a:prstGeom>
                  </pic:spPr>
                </pic:pic>
              </a:graphicData>
            </a:graphic>
          </wp:inline>
        </w:drawing>
      </w:r>
    </w:p>
    <w:p w14:paraId="2C568116" w14:textId="77777777" w:rsidR="000306EF" w:rsidRPr="00311A58" w:rsidRDefault="000306EF" w:rsidP="00FA340B">
      <w:pPr>
        <w:rPr>
          <w:rFonts w:ascii="Arial" w:hAnsi="Arial" w:cs="Arial"/>
        </w:rPr>
      </w:pPr>
    </w:p>
    <w:p w14:paraId="4DE42C71" w14:textId="270FD264" w:rsidR="000306EF" w:rsidRPr="00311A58" w:rsidRDefault="000306EF" w:rsidP="00311A58">
      <w:pPr>
        <w:spacing w:line="360" w:lineRule="auto"/>
        <w:jc w:val="both"/>
        <w:rPr>
          <w:rFonts w:ascii="Arial" w:hAnsi="Arial" w:cs="Arial"/>
        </w:rPr>
      </w:pPr>
      <w:r w:rsidRPr="00311A58">
        <w:rPr>
          <w:rFonts w:ascii="Arial" w:hAnsi="Arial" w:cs="Arial"/>
        </w:rPr>
        <w:t xml:space="preserve">From the word cloud, we can reach the same conclusion as from the pie chart, that is, the credit reporting issues should be focused on. </w:t>
      </w:r>
      <w:r w:rsidR="00FA340B" w:rsidRPr="00311A58">
        <w:rPr>
          <w:rFonts w:ascii="Arial" w:hAnsi="Arial" w:cs="Arial"/>
        </w:rPr>
        <w:t>Therefore, we dig into this product to see what happened with credit reporting.</w:t>
      </w:r>
      <w:r w:rsidR="00C71DDA" w:rsidRPr="00311A58">
        <w:rPr>
          <w:rFonts w:ascii="Arial" w:hAnsi="Arial" w:cs="Arial"/>
        </w:rPr>
        <w:t xml:space="preserve"> </w:t>
      </w:r>
    </w:p>
    <w:p w14:paraId="512B0F48" w14:textId="7A18D32C" w:rsidR="00C71DDA" w:rsidRPr="00311A58" w:rsidRDefault="00C71DDA" w:rsidP="00311A58">
      <w:pPr>
        <w:spacing w:line="360" w:lineRule="auto"/>
        <w:jc w:val="both"/>
        <w:rPr>
          <w:rFonts w:ascii="Arial" w:hAnsi="Arial" w:cs="Arial"/>
        </w:rPr>
      </w:pPr>
      <w:r w:rsidRPr="00311A58">
        <w:rPr>
          <w:rFonts w:ascii="Arial" w:hAnsi="Arial" w:cs="Arial"/>
        </w:rPr>
        <w:t>We calculate the percentages of the four sub-products of credit reporting, and we find that the majority of the credit reporting product complaints come from the credit reporting sub-product other than other credit services or financial reports. (Figure</w:t>
      </w:r>
      <w:r w:rsidR="006E0C5C" w:rsidRPr="00311A58">
        <w:rPr>
          <w:rFonts w:ascii="Arial" w:hAnsi="Arial" w:cs="Arial"/>
        </w:rPr>
        <w:t xml:space="preserve"> </w:t>
      </w:r>
      <w:r w:rsidRPr="00311A58">
        <w:rPr>
          <w:rFonts w:ascii="Arial" w:hAnsi="Arial" w:cs="Arial"/>
        </w:rPr>
        <w:t>3)</w:t>
      </w:r>
    </w:p>
    <w:p w14:paraId="4001917B" w14:textId="18980B94" w:rsidR="00C71DDA" w:rsidRPr="00311A58" w:rsidRDefault="00C71DDA" w:rsidP="00311A58">
      <w:pPr>
        <w:spacing w:line="360" w:lineRule="auto"/>
        <w:rPr>
          <w:rFonts w:ascii="Arial" w:hAnsi="Arial" w:cs="Arial"/>
          <w:b/>
          <w:bCs/>
        </w:rPr>
      </w:pPr>
      <w:r w:rsidRPr="00311A58">
        <w:rPr>
          <w:rFonts w:ascii="Arial" w:hAnsi="Arial" w:cs="Arial"/>
          <w:b/>
          <w:bCs/>
        </w:rPr>
        <w:t>Figure 3: the sub-products in the credit reporting product</w:t>
      </w:r>
    </w:p>
    <w:p w14:paraId="25070F76" w14:textId="1C00DC7F" w:rsidR="00C71DDA" w:rsidRPr="00311A58" w:rsidRDefault="00C71DDA" w:rsidP="00FA340B">
      <w:pPr>
        <w:rPr>
          <w:rFonts w:ascii="Arial" w:hAnsi="Arial" w:cs="Arial"/>
        </w:rPr>
      </w:pPr>
      <w:r w:rsidRPr="00311A58">
        <w:rPr>
          <w:rFonts w:ascii="Arial" w:hAnsi="Arial" w:cs="Arial"/>
          <w:noProof/>
        </w:rPr>
        <w:drawing>
          <wp:inline distT="0" distB="0" distL="0" distR="0" wp14:anchorId="75D3FD36" wp14:editId="30720787">
            <wp:extent cx="5481583" cy="8039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611"/>
                    <a:stretch/>
                  </pic:blipFill>
                  <pic:spPr bwMode="auto">
                    <a:xfrm>
                      <a:off x="0" y="0"/>
                      <a:ext cx="5496672" cy="806123"/>
                    </a:xfrm>
                    <a:prstGeom prst="rect">
                      <a:avLst/>
                    </a:prstGeom>
                    <a:ln>
                      <a:noFill/>
                    </a:ln>
                    <a:extLst>
                      <a:ext uri="{53640926-AAD7-44D8-BBD7-CCE9431645EC}">
                        <a14:shadowObscured xmlns:a14="http://schemas.microsoft.com/office/drawing/2010/main"/>
                      </a:ext>
                    </a:extLst>
                  </pic:spPr>
                </pic:pic>
              </a:graphicData>
            </a:graphic>
          </wp:inline>
        </w:drawing>
      </w:r>
    </w:p>
    <w:p w14:paraId="264FC16F" w14:textId="256A366C" w:rsidR="00C71DDA" w:rsidRPr="00311A58" w:rsidRDefault="00C71DDA" w:rsidP="00311A58">
      <w:pPr>
        <w:spacing w:line="360" w:lineRule="auto"/>
        <w:jc w:val="both"/>
        <w:rPr>
          <w:rFonts w:ascii="Arial" w:hAnsi="Arial" w:cs="Arial"/>
        </w:rPr>
      </w:pPr>
      <w:r w:rsidRPr="00311A58">
        <w:rPr>
          <w:rFonts w:ascii="Arial" w:hAnsi="Arial" w:cs="Arial"/>
        </w:rPr>
        <w:t xml:space="preserve">Since the credit reporting sub-product is distinguished from </w:t>
      </w:r>
      <w:r w:rsidR="00A32534" w:rsidRPr="00311A58">
        <w:rPr>
          <w:rFonts w:ascii="Arial" w:hAnsi="Arial" w:cs="Arial"/>
        </w:rPr>
        <w:t xml:space="preserve">the </w:t>
      </w:r>
      <w:r w:rsidRPr="00311A58">
        <w:rPr>
          <w:rFonts w:ascii="Arial" w:hAnsi="Arial" w:cs="Arial"/>
        </w:rPr>
        <w:t>other three sub-products, we count the issues of the credit reporting sub-product</w:t>
      </w:r>
      <w:r w:rsidR="006E0C5C" w:rsidRPr="00311A58">
        <w:rPr>
          <w:rFonts w:ascii="Arial" w:hAnsi="Arial" w:cs="Arial"/>
        </w:rPr>
        <w:t xml:space="preserve"> (Figure 4)</w:t>
      </w:r>
      <w:r w:rsidRPr="00311A58">
        <w:rPr>
          <w:rFonts w:ascii="Arial" w:hAnsi="Arial" w:cs="Arial"/>
        </w:rPr>
        <w:t>, to figure out the main problems with it.</w:t>
      </w:r>
    </w:p>
    <w:p w14:paraId="244289E6" w14:textId="77777777" w:rsidR="00311A58" w:rsidRDefault="00311A58" w:rsidP="00311A58">
      <w:pPr>
        <w:spacing w:line="360" w:lineRule="auto"/>
        <w:rPr>
          <w:rFonts w:ascii="Arial" w:hAnsi="Arial" w:cs="Arial"/>
          <w:b/>
          <w:bCs/>
        </w:rPr>
      </w:pPr>
    </w:p>
    <w:p w14:paraId="4CBB34A2" w14:textId="77777777" w:rsidR="00311A58" w:rsidRDefault="00311A58" w:rsidP="00311A58">
      <w:pPr>
        <w:spacing w:line="360" w:lineRule="auto"/>
        <w:rPr>
          <w:rFonts w:ascii="Arial" w:hAnsi="Arial" w:cs="Arial"/>
          <w:b/>
          <w:bCs/>
        </w:rPr>
      </w:pPr>
    </w:p>
    <w:p w14:paraId="3844B300" w14:textId="27B1028A" w:rsidR="006E0C5C" w:rsidRPr="00311A58" w:rsidRDefault="006E0C5C" w:rsidP="00311A58">
      <w:pPr>
        <w:spacing w:line="360" w:lineRule="auto"/>
        <w:rPr>
          <w:rFonts w:ascii="Arial" w:hAnsi="Arial" w:cs="Arial"/>
          <w:b/>
          <w:bCs/>
        </w:rPr>
      </w:pPr>
      <w:r w:rsidRPr="00311A58">
        <w:rPr>
          <w:rFonts w:ascii="Arial" w:hAnsi="Arial" w:cs="Arial"/>
          <w:b/>
          <w:bCs/>
        </w:rPr>
        <w:lastRenderedPageBreak/>
        <w:t>Figure 4: issues of credit reporting sub-product</w:t>
      </w:r>
    </w:p>
    <w:p w14:paraId="0DE96090" w14:textId="29FA77E9" w:rsidR="00C71DDA" w:rsidRPr="00311A58" w:rsidRDefault="006E0C5C" w:rsidP="00FA340B">
      <w:pPr>
        <w:rPr>
          <w:rFonts w:ascii="Arial" w:hAnsi="Arial" w:cs="Arial"/>
        </w:rPr>
      </w:pPr>
      <w:r w:rsidRPr="00311A58">
        <w:rPr>
          <w:rFonts w:ascii="Arial" w:hAnsi="Arial" w:cs="Arial"/>
          <w:noProof/>
        </w:rPr>
        <w:drawing>
          <wp:inline distT="0" distB="0" distL="0" distR="0" wp14:anchorId="754C224F" wp14:editId="6B5E1BBC">
            <wp:extent cx="5486400" cy="1905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05635"/>
                    </a:xfrm>
                    <a:prstGeom prst="rect">
                      <a:avLst/>
                    </a:prstGeom>
                  </pic:spPr>
                </pic:pic>
              </a:graphicData>
            </a:graphic>
          </wp:inline>
        </w:drawing>
      </w:r>
    </w:p>
    <w:p w14:paraId="3D618DD7" w14:textId="452F9B1C" w:rsidR="00311A58" w:rsidRPr="00B90E48" w:rsidRDefault="000306EF" w:rsidP="00B90E48">
      <w:pPr>
        <w:pStyle w:val="Heading1"/>
        <w:spacing w:before="600" w:after="120"/>
        <w:jc w:val="both"/>
        <w:rPr>
          <w:rFonts w:ascii="Arial" w:hAnsi="Arial" w:cs="Arial"/>
        </w:rPr>
      </w:pPr>
      <w:r w:rsidRPr="00311A58">
        <w:rPr>
          <w:rFonts w:ascii="Arial" w:hAnsi="Arial" w:cs="Arial"/>
        </w:rPr>
        <w:t>Poor</w:t>
      </w:r>
      <w:r w:rsidR="00CB1385" w:rsidRPr="00311A58">
        <w:rPr>
          <w:rFonts w:ascii="Arial" w:hAnsi="Arial" w:cs="Arial"/>
        </w:rPr>
        <w:t xml:space="preserve"> Information Management </w:t>
      </w:r>
    </w:p>
    <w:p w14:paraId="76760DC0" w14:textId="2995C514" w:rsidR="008C1CB7" w:rsidRPr="00311A58" w:rsidRDefault="006E0C5C" w:rsidP="00311A58">
      <w:pPr>
        <w:spacing w:line="360" w:lineRule="auto"/>
        <w:jc w:val="both"/>
        <w:rPr>
          <w:rFonts w:ascii="Arial" w:hAnsi="Arial" w:cs="Arial"/>
        </w:rPr>
      </w:pPr>
      <w:r w:rsidRPr="00311A58">
        <w:rPr>
          <w:rFonts w:ascii="Arial" w:hAnsi="Arial" w:cs="Arial"/>
        </w:rPr>
        <w:t>The top one issue of the credit reporting sub-product is about the incorrect information on consumers’ reports.</w:t>
      </w:r>
      <w:r w:rsidR="00663FA7" w:rsidRPr="00311A58">
        <w:rPr>
          <w:rFonts w:ascii="Arial" w:hAnsi="Arial" w:cs="Arial"/>
        </w:rPr>
        <w:t xml:space="preserve"> In this issue, there are nine types of sub-issues. The sub-issue with most complaints is that the information belongs to someone else. Other information errors related to the accounts are also complained by consumers, worthy to be paid attention to (Figure 5).  </w:t>
      </w:r>
    </w:p>
    <w:p w14:paraId="64525838" w14:textId="5B9ECEF2" w:rsidR="00663FA7" w:rsidRPr="00311A58" w:rsidRDefault="00663FA7" w:rsidP="00311A58">
      <w:pPr>
        <w:spacing w:line="360" w:lineRule="auto"/>
        <w:rPr>
          <w:rFonts w:ascii="Arial" w:hAnsi="Arial" w:cs="Arial"/>
          <w:b/>
          <w:bCs/>
        </w:rPr>
      </w:pPr>
      <w:r w:rsidRPr="00311A58">
        <w:rPr>
          <w:rFonts w:ascii="Arial" w:hAnsi="Arial" w:cs="Arial"/>
          <w:b/>
          <w:bCs/>
        </w:rPr>
        <w:t>Figure 5: sub-issues of incorrect information on your report</w:t>
      </w:r>
    </w:p>
    <w:p w14:paraId="199A945B" w14:textId="764CCDAF" w:rsidR="00663FA7" w:rsidRPr="00311A58" w:rsidRDefault="00663FA7" w:rsidP="00311A58">
      <w:pPr>
        <w:spacing w:line="360" w:lineRule="auto"/>
        <w:rPr>
          <w:rFonts w:ascii="Arial" w:hAnsi="Arial" w:cs="Arial"/>
        </w:rPr>
      </w:pPr>
      <w:r w:rsidRPr="00311A58">
        <w:rPr>
          <w:rFonts w:ascii="Arial" w:hAnsi="Arial" w:cs="Arial"/>
          <w:noProof/>
        </w:rPr>
        <w:drawing>
          <wp:inline distT="0" distB="0" distL="0" distR="0" wp14:anchorId="7B7B9D92" wp14:editId="3417A8C7">
            <wp:extent cx="5486400" cy="1732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32280"/>
                    </a:xfrm>
                    <a:prstGeom prst="rect">
                      <a:avLst/>
                    </a:prstGeom>
                  </pic:spPr>
                </pic:pic>
              </a:graphicData>
            </a:graphic>
          </wp:inline>
        </w:drawing>
      </w:r>
    </w:p>
    <w:p w14:paraId="7F64B2DB" w14:textId="76B69563" w:rsidR="00CB1385" w:rsidRPr="00311A58" w:rsidRDefault="00CB1385" w:rsidP="00311A58">
      <w:pPr>
        <w:spacing w:line="360" w:lineRule="auto"/>
        <w:jc w:val="both"/>
        <w:rPr>
          <w:rFonts w:ascii="Arial" w:hAnsi="Arial" w:cs="Arial"/>
        </w:rPr>
      </w:pPr>
      <w:r w:rsidRPr="00311A58">
        <w:rPr>
          <w:rFonts w:ascii="Arial" w:hAnsi="Arial" w:cs="Arial"/>
        </w:rPr>
        <w:t>The second popular issue is the problem with a credit company’s investigation into an existing problem. When we dig into this issue, we see that most consumers complain that the credit company’s investigation is not efficient sometimes.</w:t>
      </w:r>
    </w:p>
    <w:p w14:paraId="5AC1A5A7" w14:textId="4E5E4967" w:rsidR="00311A58" w:rsidRDefault="00311A58" w:rsidP="00311A58">
      <w:pPr>
        <w:spacing w:line="360" w:lineRule="auto"/>
        <w:rPr>
          <w:rFonts w:ascii="Arial" w:hAnsi="Arial" w:cs="Arial"/>
          <w:b/>
          <w:bCs/>
        </w:rPr>
      </w:pPr>
    </w:p>
    <w:p w14:paraId="1232D228" w14:textId="77777777" w:rsidR="00B90E48" w:rsidRDefault="00B90E48" w:rsidP="00311A58">
      <w:pPr>
        <w:spacing w:line="360" w:lineRule="auto"/>
        <w:rPr>
          <w:rFonts w:ascii="Arial" w:hAnsi="Arial" w:cs="Arial"/>
          <w:b/>
          <w:bCs/>
        </w:rPr>
      </w:pPr>
    </w:p>
    <w:p w14:paraId="552E6B0D" w14:textId="275DF661" w:rsidR="00CB1385" w:rsidRPr="00311A58" w:rsidRDefault="00CB1385" w:rsidP="00311A58">
      <w:pPr>
        <w:spacing w:line="360" w:lineRule="auto"/>
        <w:rPr>
          <w:rFonts w:ascii="Arial" w:hAnsi="Arial" w:cs="Arial"/>
          <w:b/>
          <w:bCs/>
        </w:rPr>
      </w:pPr>
      <w:r w:rsidRPr="00311A58">
        <w:rPr>
          <w:rFonts w:ascii="Arial" w:hAnsi="Arial" w:cs="Arial"/>
          <w:b/>
          <w:bCs/>
        </w:rPr>
        <w:lastRenderedPageBreak/>
        <w:t>Figure 6: sub-issues of problem with a credit company’s investigation into an existing problem</w:t>
      </w:r>
    </w:p>
    <w:p w14:paraId="70CDB659" w14:textId="77777777" w:rsidR="00CB1385" w:rsidRPr="00311A58" w:rsidRDefault="00CB1385" w:rsidP="00CB1385">
      <w:pPr>
        <w:rPr>
          <w:rFonts w:ascii="Arial" w:hAnsi="Arial" w:cs="Arial"/>
        </w:rPr>
      </w:pPr>
      <w:r w:rsidRPr="00311A58">
        <w:rPr>
          <w:rFonts w:ascii="Arial" w:hAnsi="Arial" w:cs="Arial"/>
          <w:noProof/>
        </w:rPr>
        <w:drawing>
          <wp:inline distT="0" distB="0" distL="0" distR="0" wp14:anchorId="1ED9725D" wp14:editId="17052158">
            <wp:extent cx="5486400" cy="137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376045"/>
                    </a:xfrm>
                    <a:prstGeom prst="rect">
                      <a:avLst/>
                    </a:prstGeom>
                  </pic:spPr>
                </pic:pic>
              </a:graphicData>
            </a:graphic>
          </wp:inline>
        </w:drawing>
      </w:r>
    </w:p>
    <w:p w14:paraId="279FED56" w14:textId="11638815" w:rsidR="00CB1385" w:rsidRPr="00311A58" w:rsidRDefault="00663FA7" w:rsidP="00311A58">
      <w:pPr>
        <w:spacing w:line="360" w:lineRule="auto"/>
        <w:jc w:val="both"/>
        <w:rPr>
          <w:rFonts w:ascii="Arial" w:hAnsi="Arial" w:cs="Arial"/>
        </w:rPr>
      </w:pPr>
      <w:r w:rsidRPr="00311A58">
        <w:rPr>
          <w:rFonts w:ascii="Arial" w:hAnsi="Arial" w:cs="Arial"/>
        </w:rPr>
        <w:t xml:space="preserve">These popular sub-issues of credit reporting have revealed the problem of the poor information process of financial companies. The poor information process can lead to information errors. Sometimes when the information belongs to someone else, those whose information </w:t>
      </w:r>
      <w:r w:rsidR="00A32534" w:rsidRPr="00311A58">
        <w:rPr>
          <w:rFonts w:ascii="Arial" w:hAnsi="Arial" w:cs="Arial"/>
        </w:rPr>
        <w:t>is</w:t>
      </w:r>
      <w:r w:rsidRPr="00311A58">
        <w:rPr>
          <w:rFonts w:ascii="Arial" w:hAnsi="Arial" w:cs="Arial"/>
        </w:rPr>
        <w:t xml:space="preserve"> shown in the wrong reports may lose their privacy.</w:t>
      </w:r>
      <w:r w:rsidR="00CB1385" w:rsidRPr="00311A58">
        <w:rPr>
          <w:rFonts w:ascii="Arial" w:hAnsi="Arial" w:cs="Arial"/>
        </w:rPr>
        <w:t xml:space="preserve"> </w:t>
      </w:r>
    </w:p>
    <w:p w14:paraId="447E2E38" w14:textId="71B64935" w:rsidR="009B6ABD" w:rsidRPr="00311A58" w:rsidRDefault="00663FA7" w:rsidP="00311A58">
      <w:pPr>
        <w:spacing w:line="360" w:lineRule="auto"/>
        <w:jc w:val="both"/>
        <w:rPr>
          <w:rFonts w:ascii="Arial" w:hAnsi="Arial" w:cs="Arial"/>
        </w:rPr>
      </w:pPr>
      <w:r w:rsidRPr="00311A58">
        <w:rPr>
          <w:rFonts w:ascii="Arial" w:hAnsi="Arial" w:cs="Arial"/>
        </w:rPr>
        <w:t>To solve th</w:t>
      </w:r>
      <w:r w:rsidR="00CB1385" w:rsidRPr="00311A58">
        <w:rPr>
          <w:rFonts w:ascii="Arial" w:hAnsi="Arial" w:cs="Arial"/>
        </w:rPr>
        <w:t>e</w:t>
      </w:r>
      <w:r w:rsidRPr="00311A58">
        <w:rPr>
          <w:rFonts w:ascii="Arial" w:hAnsi="Arial" w:cs="Arial"/>
        </w:rPr>
        <w:t xml:space="preserve"> problem, we suggest that a regulatory system be set up by </w:t>
      </w:r>
      <w:r w:rsidR="00A32534" w:rsidRPr="00311A58">
        <w:rPr>
          <w:rFonts w:ascii="Arial" w:hAnsi="Arial" w:cs="Arial"/>
        </w:rPr>
        <w:t xml:space="preserve">the </w:t>
      </w:r>
      <w:r w:rsidRPr="00311A58">
        <w:rPr>
          <w:rFonts w:ascii="Arial" w:hAnsi="Arial" w:cs="Arial"/>
        </w:rPr>
        <w:t>government to generate indicators and punishments for the companies’ information system.</w:t>
      </w:r>
      <w:r w:rsidR="00CB1385" w:rsidRPr="00311A58">
        <w:rPr>
          <w:rFonts w:ascii="Arial" w:hAnsi="Arial" w:cs="Arial"/>
        </w:rPr>
        <w:t xml:space="preserve"> Furthermore, the industry standards of database management should be set up. The companies’ databases should be maintained periodically.</w:t>
      </w:r>
    </w:p>
    <w:p w14:paraId="4136169B" w14:textId="42B504EC" w:rsidR="00311A58" w:rsidRPr="00B90E48" w:rsidRDefault="000306EF" w:rsidP="00B90E48">
      <w:pPr>
        <w:pStyle w:val="Heading1"/>
        <w:spacing w:before="600" w:after="120"/>
        <w:jc w:val="both"/>
        <w:rPr>
          <w:rFonts w:ascii="Arial" w:hAnsi="Arial" w:cs="Arial"/>
        </w:rPr>
      </w:pPr>
      <w:r w:rsidRPr="00311A58">
        <w:rPr>
          <w:rFonts w:ascii="Arial" w:hAnsi="Arial" w:cs="Arial"/>
        </w:rPr>
        <w:t>Unfair CFPB’s Rules</w:t>
      </w:r>
    </w:p>
    <w:p w14:paraId="167C8C37" w14:textId="60C93525" w:rsidR="00A32534" w:rsidRPr="00311A58" w:rsidRDefault="00CB1385" w:rsidP="00311A58">
      <w:pPr>
        <w:spacing w:line="360" w:lineRule="auto"/>
        <w:jc w:val="both"/>
        <w:rPr>
          <w:rFonts w:ascii="Arial" w:hAnsi="Arial" w:cs="Arial"/>
        </w:rPr>
      </w:pPr>
      <w:r w:rsidRPr="00311A58">
        <w:rPr>
          <w:rFonts w:ascii="Arial" w:hAnsi="Arial" w:cs="Arial"/>
        </w:rPr>
        <w:t xml:space="preserve">We try to go further with the two issues above. Therefore, we calculate the complaints </w:t>
      </w:r>
      <w:r w:rsidR="00A32534" w:rsidRPr="00311A58">
        <w:rPr>
          <w:rFonts w:ascii="Arial" w:hAnsi="Arial" w:cs="Arial"/>
        </w:rPr>
        <w:t>about</w:t>
      </w:r>
      <w:r w:rsidRPr="00311A58">
        <w:rPr>
          <w:rFonts w:ascii="Arial" w:hAnsi="Arial" w:cs="Arial"/>
        </w:rPr>
        <w:t xml:space="preserve"> different companies in the two issues</w:t>
      </w:r>
      <w:r w:rsidR="000B6A41" w:rsidRPr="00311A58">
        <w:rPr>
          <w:rFonts w:ascii="Arial" w:hAnsi="Arial" w:cs="Arial"/>
        </w:rPr>
        <w:t xml:space="preserve"> (Figure 7)</w:t>
      </w:r>
      <w:r w:rsidRPr="00311A58">
        <w:rPr>
          <w:rFonts w:ascii="Arial" w:hAnsi="Arial" w:cs="Arial"/>
        </w:rPr>
        <w:t>.</w:t>
      </w:r>
      <w:r w:rsidR="000B6A41" w:rsidRPr="00311A58">
        <w:rPr>
          <w:rFonts w:ascii="Arial" w:hAnsi="Arial" w:cs="Arial"/>
        </w:rPr>
        <w:t xml:space="preserve"> Equifax, TransUnion intermediate holdings, and Experian information solutions are the top three companies with most complaints of the two issues.</w:t>
      </w:r>
    </w:p>
    <w:p w14:paraId="07ECC015" w14:textId="27EDB423" w:rsidR="000B6A41" w:rsidRPr="00311A58" w:rsidRDefault="000B6A41" w:rsidP="00311A58">
      <w:pPr>
        <w:spacing w:line="360" w:lineRule="auto"/>
        <w:rPr>
          <w:rFonts w:ascii="Arial" w:hAnsi="Arial" w:cs="Arial"/>
          <w:b/>
          <w:bCs/>
        </w:rPr>
      </w:pPr>
      <w:r w:rsidRPr="00311A58">
        <w:rPr>
          <w:rFonts w:ascii="Arial" w:hAnsi="Arial" w:cs="Arial"/>
          <w:b/>
          <w:bCs/>
        </w:rPr>
        <w:t>Figure 7: complaints of companies in the two issues</w:t>
      </w:r>
    </w:p>
    <w:p w14:paraId="631D539D" w14:textId="4A529CB4" w:rsidR="000B6A41" w:rsidRDefault="000B6A41" w:rsidP="000B6A41">
      <w:pPr>
        <w:jc w:val="center"/>
        <w:rPr>
          <w:rFonts w:ascii="Arial" w:hAnsi="Arial" w:cs="Arial"/>
          <w:b/>
          <w:bCs/>
        </w:rPr>
      </w:pPr>
      <w:r w:rsidRPr="00311A58">
        <w:rPr>
          <w:rFonts w:ascii="Arial" w:hAnsi="Arial" w:cs="Arial"/>
          <w:noProof/>
        </w:rPr>
        <w:lastRenderedPageBreak/>
        <w:drawing>
          <wp:inline distT="0" distB="0" distL="0" distR="0" wp14:anchorId="3E8E9244" wp14:editId="27B9F3A6">
            <wp:extent cx="3307080" cy="3332134"/>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044"/>
                    <a:stretch/>
                  </pic:blipFill>
                  <pic:spPr bwMode="auto">
                    <a:xfrm>
                      <a:off x="0" y="0"/>
                      <a:ext cx="3359038" cy="3384486"/>
                    </a:xfrm>
                    <a:prstGeom prst="rect">
                      <a:avLst/>
                    </a:prstGeom>
                    <a:ln>
                      <a:noFill/>
                    </a:ln>
                    <a:extLst>
                      <a:ext uri="{53640926-AAD7-44D8-BBD7-CCE9431645EC}">
                        <a14:shadowObscured xmlns:a14="http://schemas.microsoft.com/office/drawing/2010/main"/>
                      </a:ext>
                    </a:extLst>
                  </pic:spPr>
                </pic:pic>
              </a:graphicData>
            </a:graphic>
          </wp:inline>
        </w:drawing>
      </w:r>
    </w:p>
    <w:p w14:paraId="5E5285AC" w14:textId="77777777" w:rsidR="00311A58" w:rsidRPr="00311A58" w:rsidRDefault="00311A58" w:rsidP="000B6A41">
      <w:pPr>
        <w:jc w:val="center"/>
        <w:rPr>
          <w:rFonts w:ascii="Arial" w:hAnsi="Arial" w:cs="Arial"/>
          <w:b/>
          <w:bCs/>
        </w:rPr>
      </w:pPr>
    </w:p>
    <w:p w14:paraId="192D49C2" w14:textId="2208BD10" w:rsidR="00FF4DCD" w:rsidRPr="00311A58" w:rsidRDefault="0025453B" w:rsidP="00311A58">
      <w:pPr>
        <w:spacing w:line="360" w:lineRule="auto"/>
        <w:jc w:val="both"/>
        <w:rPr>
          <w:rFonts w:ascii="Arial" w:hAnsi="Arial" w:cs="Arial"/>
        </w:rPr>
      </w:pPr>
      <w:r w:rsidRPr="00311A58">
        <w:rPr>
          <w:rFonts w:ascii="Arial" w:hAnsi="Arial" w:cs="Arial"/>
        </w:rPr>
        <w:t>We take a look at the trend of complaints received by</w:t>
      </w:r>
      <w:r w:rsidR="000B6A41" w:rsidRPr="00311A58">
        <w:rPr>
          <w:rFonts w:ascii="Arial" w:hAnsi="Arial" w:cs="Arial"/>
        </w:rPr>
        <w:t xml:space="preserve"> Equifax which has most complaints about the credit reporting, </w:t>
      </w:r>
      <w:r w:rsidRPr="00311A58">
        <w:rPr>
          <w:rFonts w:ascii="Arial" w:hAnsi="Arial" w:cs="Arial"/>
        </w:rPr>
        <w:t xml:space="preserve">and </w:t>
      </w:r>
      <w:r w:rsidR="000B6A41" w:rsidRPr="00311A58">
        <w:rPr>
          <w:rFonts w:ascii="Arial" w:hAnsi="Arial" w:cs="Arial"/>
        </w:rPr>
        <w:t>we find out that in August 2017, the company received an abnormally large number of complaints</w:t>
      </w:r>
      <w:r w:rsidRPr="00311A58">
        <w:rPr>
          <w:rFonts w:ascii="Arial" w:hAnsi="Arial" w:cs="Arial"/>
        </w:rPr>
        <w:t xml:space="preserve"> (Figure 8)</w:t>
      </w:r>
      <w:r w:rsidR="000B6A41" w:rsidRPr="00311A58">
        <w:rPr>
          <w:rFonts w:ascii="Arial" w:hAnsi="Arial" w:cs="Arial"/>
        </w:rPr>
        <w:t>.</w:t>
      </w:r>
      <w:r w:rsidRPr="00311A58">
        <w:rPr>
          <w:rFonts w:ascii="Arial" w:hAnsi="Arial" w:cs="Arial"/>
        </w:rPr>
        <w:t xml:space="preserve">  Therefore, we do some research on what happened to Equifax in August 2017. It turns out that there was a data breach of Equifax at that time, and the CFPB's rules shield</w:t>
      </w:r>
      <w:r w:rsidR="00FF4DCD" w:rsidRPr="00311A58">
        <w:rPr>
          <w:rFonts w:ascii="Arial" w:hAnsi="Arial" w:cs="Arial"/>
        </w:rPr>
        <w:t>ed</w:t>
      </w:r>
      <w:r w:rsidRPr="00311A58">
        <w:rPr>
          <w:rFonts w:ascii="Arial" w:hAnsi="Arial" w:cs="Arial"/>
        </w:rPr>
        <w:t xml:space="preserve"> the company from class-action lawsuits in the event of an accident such as a data breach.</w:t>
      </w:r>
      <w:r w:rsidR="00FF4DCD" w:rsidRPr="00311A58">
        <w:rPr>
          <w:rFonts w:ascii="Arial" w:hAnsi="Arial" w:cs="Arial"/>
        </w:rPr>
        <w:t xml:space="preserve"> </w:t>
      </w:r>
    </w:p>
    <w:p w14:paraId="53D197D4" w14:textId="2ABA8B94" w:rsidR="00311A58" w:rsidRPr="00311A58" w:rsidRDefault="000B6A41" w:rsidP="000B6A41">
      <w:pPr>
        <w:rPr>
          <w:rFonts w:ascii="Arial" w:hAnsi="Arial" w:cs="Arial"/>
          <w:b/>
          <w:bCs/>
        </w:rPr>
      </w:pPr>
      <w:r w:rsidRPr="00311A58">
        <w:rPr>
          <w:rFonts w:ascii="Arial" w:hAnsi="Arial" w:cs="Arial"/>
          <w:b/>
          <w:bCs/>
        </w:rPr>
        <w:t>Figure 8: complaints of Equifax over time</w:t>
      </w:r>
    </w:p>
    <w:p w14:paraId="441BF38D" w14:textId="654E055B" w:rsidR="00CB1385" w:rsidRPr="00311A58" w:rsidRDefault="000B6A41" w:rsidP="00A32534">
      <w:pPr>
        <w:jc w:val="center"/>
        <w:rPr>
          <w:rFonts w:ascii="Arial" w:hAnsi="Arial" w:cs="Arial"/>
        </w:rPr>
      </w:pPr>
      <w:r w:rsidRPr="00311A58">
        <w:rPr>
          <w:rFonts w:ascii="Arial" w:hAnsi="Arial" w:cs="Arial"/>
          <w:noProof/>
        </w:rPr>
        <w:drawing>
          <wp:inline distT="0" distB="0" distL="0" distR="0" wp14:anchorId="3C667BCC" wp14:editId="6330E1A9">
            <wp:extent cx="5074920" cy="265787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9487" cy="2675975"/>
                    </a:xfrm>
                    <a:prstGeom prst="rect">
                      <a:avLst/>
                    </a:prstGeom>
                  </pic:spPr>
                </pic:pic>
              </a:graphicData>
            </a:graphic>
          </wp:inline>
        </w:drawing>
      </w:r>
    </w:p>
    <w:p w14:paraId="18691D49" w14:textId="73B57991" w:rsidR="000B6A41" w:rsidRPr="00311A58" w:rsidRDefault="00FF4DCD" w:rsidP="00311A58">
      <w:pPr>
        <w:spacing w:line="360" w:lineRule="auto"/>
        <w:jc w:val="both"/>
        <w:rPr>
          <w:rFonts w:ascii="Arial" w:hAnsi="Arial" w:cs="Arial"/>
        </w:rPr>
      </w:pPr>
      <w:r w:rsidRPr="00311A58">
        <w:rPr>
          <w:rFonts w:ascii="Arial" w:hAnsi="Arial" w:cs="Arial"/>
        </w:rPr>
        <w:lastRenderedPageBreak/>
        <w:t>To make the market more efficient and reduce the consumers’ complaints, the CFPB's special protections that shield companies from class-action lawsuits should be repealed or amended, otherwise</w:t>
      </w:r>
      <w:r w:rsidR="00A32534" w:rsidRPr="00311A58">
        <w:rPr>
          <w:rFonts w:ascii="Arial" w:hAnsi="Arial" w:cs="Arial"/>
        </w:rPr>
        <w:t>,</w:t>
      </w:r>
      <w:r w:rsidRPr="00311A58">
        <w:rPr>
          <w:rFonts w:ascii="Arial" w:hAnsi="Arial" w:cs="Arial"/>
        </w:rPr>
        <w:t xml:space="preserve"> the companies might keep making such mistakes.</w:t>
      </w:r>
    </w:p>
    <w:p w14:paraId="18150BC7" w14:textId="0A24D56A" w:rsidR="00311A58" w:rsidRPr="00B90E48" w:rsidRDefault="000306EF" w:rsidP="00B90E48">
      <w:pPr>
        <w:pStyle w:val="Heading1"/>
        <w:spacing w:before="600" w:after="120" w:line="360" w:lineRule="auto"/>
        <w:jc w:val="both"/>
        <w:rPr>
          <w:rFonts w:ascii="Arial" w:hAnsi="Arial" w:cs="Arial"/>
        </w:rPr>
      </w:pPr>
      <w:r w:rsidRPr="00311A58">
        <w:rPr>
          <w:rFonts w:ascii="Arial" w:hAnsi="Arial" w:cs="Arial"/>
        </w:rPr>
        <w:t>Communication Problem</w:t>
      </w:r>
    </w:p>
    <w:p w14:paraId="5A4E4FDB" w14:textId="6CEBA817" w:rsidR="000B5B41" w:rsidRPr="00311A58" w:rsidRDefault="000B5B41" w:rsidP="00311A58">
      <w:pPr>
        <w:spacing w:line="360" w:lineRule="auto"/>
        <w:jc w:val="both"/>
        <w:rPr>
          <w:rFonts w:ascii="Arial" w:hAnsi="Arial" w:cs="Arial"/>
        </w:rPr>
      </w:pPr>
      <w:r w:rsidRPr="00311A58">
        <w:rPr>
          <w:rFonts w:ascii="Arial" w:hAnsi="Arial" w:cs="Arial"/>
        </w:rPr>
        <w:t xml:space="preserve">We take a look at how companies responded to the complaints of the credit reporting sub-product and find out most responses are simple explanations (Figure 9). Compared to other responses such as non-monetary relief and monetary relief, the explanation response shows that there are two different types of responses: in favor of consumers (closed with relief) and not in favor of consumers (closed with explanation). More complaints that are not solved in consumers’ favor means complaints may be the result of customer misunderstanding rather than actual mistakes or operational errors by companies. </w:t>
      </w:r>
    </w:p>
    <w:p w14:paraId="2BD995E1" w14:textId="7C11988E" w:rsidR="000B5B41" w:rsidRPr="00311A58" w:rsidRDefault="000B5B41" w:rsidP="00311A58">
      <w:pPr>
        <w:spacing w:line="360" w:lineRule="auto"/>
        <w:rPr>
          <w:rFonts w:ascii="Arial" w:hAnsi="Arial" w:cs="Arial"/>
          <w:b/>
          <w:bCs/>
        </w:rPr>
      </w:pPr>
      <w:r w:rsidRPr="00311A58">
        <w:rPr>
          <w:rFonts w:ascii="Arial" w:hAnsi="Arial" w:cs="Arial"/>
          <w:b/>
          <w:bCs/>
        </w:rPr>
        <w:t>Figure 9: company's response to consumers</w:t>
      </w:r>
    </w:p>
    <w:p w14:paraId="7FAA58F1" w14:textId="279C63DB" w:rsidR="00FF4DCD" w:rsidRPr="00311A58" w:rsidRDefault="000B5B41" w:rsidP="00311A58">
      <w:pPr>
        <w:spacing w:line="360" w:lineRule="auto"/>
        <w:rPr>
          <w:rFonts w:ascii="Arial" w:hAnsi="Arial" w:cs="Arial"/>
        </w:rPr>
      </w:pPr>
      <w:r w:rsidRPr="00311A58">
        <w:rPr>
          <w:rFonts w:ascii="Arial" w:hAnsi="Arial" w:cs="Arial"/>
          <w:noProof/>
        </w:rPr>
        <w:drawing>
          <wp:inline distT="0" distB="0" distL="0" distR="0" wp14:anchorId="2380CF99" wp14:editId="01D729C7">
            <wp:extent cx="5486400" cy="1469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469390"/>
                    </a:xfrm>
                    <a:prstGeom prst="rect">
                      <a:avLst/>
                    </a:prstGeom>
                  </pic:spPr>
                </pic:pic>
              </a:graphicData>
            </a:graphic>
          </wp:inline>
        </w:drawing>
      </w:r>
    </w:p>
    <w:p w14:paraId="35AF98CF" w14:textId="1405AADC" w:rsidR="000B5B41" w:rsidRPr="00311A58" w:rsidRDefault="000B5B41" w:rsidP="00311A58">
      <w:pPr>
        <w:spacing w:line="360" w:lineRule="auto"/>
        <w:jc w:val="both"/>
        <w:rPr>
          <w:rFonts w:ascii="Arial" w:hAnsi="Arial" w:cs="Arial"/>
        </w:rPr>
      </w:pPr>
      <w:r w:rsidRPr="00311A58">
        <w:rPr>
          <w:rFonts w:ascii="Arial" w:hAnsi="Arial" w:cs="Arial"/>
        </w:rPr>
        <w:t>To improve market efficiency, we suggest that firms should fully explain the unclear in the contract and on the websites to consumers.</w:t>
      </w:r>
    </w:p>
    <w:p w14:paraId="13221922" w14:textId="3235128F" w:rsidR="00A32534" w:rsidRPr="00311A58" w:rsidRDefault="000306EF" w:rsidP="00311A58">
      <w:pPr>
        <w:pStyle w:val="Heading1"/>
        <w:spacing w:before="600" w:after="120" w:line="360" w:lineRule="auto"/>
        <w:jc w:val="both"/>
        <w:rPr>
          <w:rFonts w:ascii="Arial" w:hAnsi="Arial" w:cs="Arial"/>
        </w:rPr>
      </w:pPr>
      <w:r w:rsidRPr="00311A58">
        <w:rPr>
          <w:rFonts w:ascii="Arial" w:hAnsi="Arial" w:cs="Arial"/>
        </w:rPr>
        <w:t>Data Transparency Problem</w:t>
      </w:r>
    </w:p>
    <w:p w14:paraId="70DC2F7D" w14:textId="38788513" w:rsidR="008E1ED8" w:rsidRPr="00311A58" w:rsidRDefault="008E1ED8" w:rsidP="00311A58">
      <w:pPr>
        <w:spacing w:line="360" w:lineRule="auto"/>
        <w:jc w:val="both"/>
        <w:rPr>
          <w:rFonts w:ascii="Arial" w:hAnsi="Arial" w:cs="Arial"/>
        </w:rPr>
      </w:pPr>
      <w:r w:rsidRPr="00311A58">
        <w:rPr>
          <w:rFonts w:ascii="Arial" w:hAnsi="Arial" w:cs="Arial"/>
        </w:rPr>
        <w:t xml:space="preserve">We generate the bar chart of the counts of company’s’ public response and the unpublic response occupies more than 97% of the company response (Figure 10), which means to shape its image in the marketplace, a firm may not submit all complaints to CFPB, so the database can’t fully reflect a firm's complaint records. </w:t>
      </w:r>
    </w:p>
    <w:p w14:paraId="0C8E0C2F" w14:textId="77777777" w:rsidR="00F85890" w:rsidRDefault="00F85890" w:rsidP="00311A58">
      <w:pPr>
        <w:spacing w:line="360" w:lineRule="auto"/>
        <w:rPr>
          <w:rFonts w:ascii="Arial" w:hAnsi="Arial" w:cs="Arial"/>
          <w:b/>
          <w:bCs/>
        </w:rPr>
      </w:pPr>
    </w:p>
    <w:p w14:paraId="133099AC" w14:textId="452737A2" w:rsidR="00CF20FE" w:rsidRPr="00311A58" w:rsidRDefault="00CF20FE" w:rsidP="00311A58">
      <w:pPr>
        <w:spacing w:line="360" w:lineRule="auto"/>
        <w:rPr>
          <w:rFonts w:ascii="Arial" w:hAnsi="Arial" w:cs="Arial"/>
          <w:b/>
          <w:bCs/>
        </w:rPr>
      </w:pPr>
      <w:r w:rsidRPr="00311A58">
        <w:rPr>
          <w:rFonts w:ascii="Arial" w:hAnsi="Arial" w:cs="Arial"/>
          <w:b/>
          <w:bCs/>
        </w:rPr>
        <w:lastRenderedPageBreak/>
        <w:t>Figure 10: company's public response in the credit reporting sub-product</w:t>
      </w:r>
    </w:p>
    <w:p w14:paraId="1EA40A26" w14:textId="5DC5E6D8" w:rsidR="001A1CD5" w:rsidRPr="00311A58" w:rsidRDefault="00CF20FE" w:rsidP="001A1CD5">
      <w:pPr>
        <w:rPr>
          <w:rFonts w:ascii="Arial" w:hAnsi="Arial" w:cs="Arial"/>
        </w:rPr>
      </w:pPr>
      <w:r w:rsidRPr="00311A58">
        <w:rPr>
          <w:rFonts w:ascii="Arial" w:hAnsi="Arial" w:cs="Arial"/>
          <w:noProof/>
        </w:rPr>
        <w:drawing>
          <wp:inline distT="0" distB="0" distL="0" distR="0" wp14:anchorId="0C35C81C" wp14:editId="33792F0D">
            <wp:extent cx="5486400" cy="1732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32280"/>
                    </a:xfrm>
                    <a:prstGeom prst="rect">
                      <a:avLst/>
                    </a:prstGeom>
                  </pic:spPr>
                </pic:pic>
              </a:graphicData>
            </a:graphic>
          </wp:inline>
        </w:drawing>
      </w:r>
    </w:p>
    <w:p w14:paraId="509D3B02" w14:textId="02960ADD" w:rsidR="009B6ABD" w:rsidRPr="00311A58" w:rsidRDefault="008E1ED8" w:rsidP="00311A58">
      <w:pPr>
        <w:spacing w:line="360" w:lineRule="auto"/>
        <w:jc w:val="both"/>
        <w:rPr>
          <w:rFonts w:ascii="Arial" w:hAnsi="Arial" w:cs="Arial"/>
        </w:rPr>
      </w:pPr>
      <w:r w:rsidRPr="00311A58">
        <w:rPr>
          <w:rFonts w:ascii="Arial" w:hAnsi="Arial" w:cs="Arial"/>
        </w:rPr>
        <w:t xml:space="preserve">The data transparency problem is significant in the industry. Therefore, we suggest that </w:t>
      </w:r>
      <w:r w:rsidR="00A32534" w:rsidRPr="00311A58">
        <w:rPr>
          <w:rFonts w:ascii="Arial" w:hAnsi="Arial" w:cs="Arial"/>
        </w:rPr>
        <w:t xml:space="preserve">the </w:t>
      </w:r>
      <w:r w:rsidRPr="00311A58">
        <w:rPr>
          <w:rFonts w:ascii="Arial" w:hAnsi="Arial" w:cs="Arial"/>
        </w:rPr>
        <w:t>government should consider monitoring firms’ CFPB data and make sure that data is complete and transparent.</w:t>
      </w:r>
    </w:p>
    <w:p w14:paraId="78E254D2" w14:textId="0F4FF98A" w:rsidR="00311A58" w:rsidRPr="00B90E48" w:rsidRDefault="00D3400C" w:rsidP="00B90E48">
      <w:pPr>
        <w:pStyle w:val="Heading1"/>
        <w:spacing w:before="600" w:after="120" w:line="360" w:lineRule="auto"/>
        <w:jc w:val="both"/>
        <w:rPr>
          <w:rFonts w:ascii="Arial" w:hAnsi="Arial" w:cs="Arial"/>
        </w:rPr>
      </w:pPr>
      <w:r w:rsidRPr="00311A58">
        <w:rPr>
          <w:rFonts w:ascii="Arial" w:hAnsi="Arial" w:cs="Arial"/>
        </w:rPr>
        <w:t>Conclusion</w:t>
      </w:r>
    </w:p>
    <w:p w14:paraId="3EB1B1C7" w14:textId="0B440EAC" w:rsidR="00D3400C" w:rsidRPr="00311A58" w:rsidRDefault="00D3400C" w:rsidP="00311A58">
      <w:pPr>
        <w:spacing w:line="360" w:lineRule="auto"/>
        <w:jc w:val="both"/>
        <w:rPr>
          <w:rFonts w:ascii="Arial" w:hAnsi="Arial" w:cs="Arial"/>
        </w:rPr>
      </w:pPr>
      <w:r w:rsidRPr="00311A58">
        <w:rPr>
          <w:rFonts w:ascii="Arial" w:hAnsi="Arial" w:cs="Arial"/>
        </w:rPr>
        <w:t>We do a series of data analysis on this dataset about the credit reporting problem and find out some significant problems need to be fixed. We also provide our suggestions on these problems. Importantly, the industry legislations still need to be improved, to protect consumers.</w:t>
      </w:r>
    </w:p>
    <w:p w14:paraId="4F6D9A59" w14:textId="77777777" w:rsidR="00D3400C" w:rsidRPr="00311A58" w:rsidRDefault="00D3400C" w:rsidP="00311A58">
      <w:pPr>
        <w:spacing w:line="360" w:lineRule="auto"/>
        <w:jc w:val="both"/>
        <w:rPr>
          <w:rFonts w:ascii="Arial" w:hAnsi="Arial" w:cs="Arial"/>
        </w:rPr>
      </w:pPr>
    </w:p>
    <w:p w14:paraId="2CA3DE35" w14:textId="77777777" w:rsidR="00B65719" w:rsidRPr="00311A58" w:rsidRDefault="00B65719" w:rsidP="00311A58">
      <w:pPr>
        <w:spacing w:line="360" w:lineRule="auto"/>
        <w:rPr>
          <w:rFonts w:ascii="Arial" w:hAnsi="Arial" w:cs="Arial"/>
        </w:rPr>
      </w:pPr>
    </w:p>
    <w:p w14:paraId="52447DB8" w14:textId="77777777" w:rsidR="009B6ABD" w:rsidRPr="00311A58" w:rsidRDefault="009B6ABD" w:rsidP="00311A58">
      <w:pPr>
        <w:spacing w:line="360" w:lineRule="auto"/>
        <w:rPr>
          <w:rFonts w:ascii="Arial" w:hAnsi="Arial" w:cs="Arial"/>
        </w:rPr>
      </w:pPr>
    </w:p>
    <w:p w14:paraId="483945B8" w14:textId="77777777" w:rsidR="009B6ABD" w:rsidRPr="00311A58" w:rsidRDefault="009B6ABD" w:rsidP="009B6ABD">
      <w:pPr>
        <w:rPr>
          <w:rFonts w:ascii="Arial" w:hAnsi="Arial" w:cs="Arial"/>
        </w:rPr>
      </w:pPr>
    </w:p>
    <w:sectPr w:rsidR="009B6ABD" w:rsidRPr="00311A58" w:rsidSect="00FA340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45C59" w14:textId="77777777" w:rsidR="00E92C92" w:rsidRDefault="00E92C92" w:rsidP="00B17C7B">
      <w:pPr>
        <w:spacing w:after="0" w:line="240" w:lineRule="auto"/>
      </w:pPr>
      <w:r>
        <w:separator/>
      </w:r>
    </w:p>
  </w:endnote>
  <w:endnote w:type="continuationSeparator" w:id="0">
    <w:p w14:paraId="3A4593FE" w14:textId="77777777" w:rsidR="00E92C92" w:rsidRDefault="00E92C92" w:rsidP="00B17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F3485" w14:textId="77777777" w:rsidR="00E92C92" w:rsidRDefault="00E92C92" w:rsidP="00B17C7B">
      <w:pPr>
        <w:spacing w:after="0" w:line="240" w:lineRule="auto"/>
      </w:pPr>
      <w:r>
        <w:separator/>
      </w:r>
    </w:p>
  </w:footnote>
  <w:footnote w:type="continuationSeparator" w:id="0">
    <w:p w14:paraId="5D395CB3" w14:textId="77777777" w:rsidR="00E92C92" w:rsidRDefault="00E92C92" w:rsidP="00B17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E0B8D"/>
    <w:multiLevelType w:val="hybridMultilevel"/>
    <w:tmpl w:val="8936519A"/>
    <w:lvl w:ilvl="0" w:tplc="F410A5DC">
      <w:start w:val="1"/>
      <w:numFmt w:val="bullet"/>
      <w:lvlText w:val="○"/>
      <w:lvlJc w:val="left"/>
      <w:pPr>
        <w:tabs>
          <w:tab w:val="num" w:pos="720"/>
        </w:tabs>
        <w:ind w:left="720" w:hanging="360"/>
      </w:pPr>
      <w:rPr>
        <w:rFonts w:ascii="Arial" w:hAnsi="Arial" w:hint="default"/>
      </w:rPr>
    </w:lvl>
    <w:lvl w:ilvl="1" w:tplc="6F4639E8">
      <w:start w:val="1"/>
      <w:numFmt w:val="bullet"/>
      <w:lvlText w:val="○"/>
      <w:lvlJc w:val="left"/>
      <w:pPr>
        <w:tabs>
          <w:tab w:val="num" w:pos="1440"/>
        </w:tabs>
        <w:ind w:left="1440" w:hanging="360"/>
      </w:pPr>
      <w:rPr>
        <w:rFonts w:ascii="Arial" w:hAnsi="Arial" w:hint="default"/>
      </w:rPr>
    </w:lvl>
    <w:lvl w:ilvl="2" w:tplc="D848F890" w:tentative="1">
      <w:start w:val="1"/>
      <w:numFmt w:val="bullet"/>
      <w:lvlText w:val="○"/>
      <w:lvlJc w:val="left"/>
      <w:pPr>
        <w:tabs>
          <w:tab w:val="num" w:pos="2160"/>
        </w:tabs>
        <w:ind w:left="2160" w:hanging="360"/>
      </w:pPr>
      <w:rPr>
        <w:rFonts w:ascii="Arial" w:hAnsi="Arial" w:hint="default"/>
      </w:rPr>
    </w:lvl>
    <w:lvl w:ilvl="3" w:tplc="4D204C86" w:tentative="1">
      <w:start w:val="1"/>
      <w:numFmt w:val="bullet"/>
      <w:lvlText w:val="○"/>
      <w:lvlJc w:val="left"/>
      <w:pPr>
        <w:tabs>
          <w:tab w:val="num" w:pos="2880"/>
        </w:tabs>
        <w:ind w:left="2880" w:hanging="360"/>
      </w:pPr>
      <w:rPr>
        <w:rFonts w:ascii="Arial" w:hAnsi="Arial" w:hint="default"/>
      </w:rPr>
    </w:lvl>
    <w:lvl w:ilvl="4" w:tplc="05B41362" w:tentative="1">
      <w:start w:val="1"/>
      <w:numFmt w:val="bullet"/>
      <w:lvlText w:val="○"/>
      <w:lvlJc w:val="left"/>
      <w:pPr>
        <w:tabs>
          <w:tab w:val="num" w:pos="3600"/>
        </w:tabs>
        <w:ind w:left="3600" w:hanging="360"/>
      </w:pPr>
      <w:rPr>
        <w:rFonts w:ascii="Arial" w:hAnsi="Arial" w:hint="default"/>
      </w:rPr>
    </w:lvl>
    <w:lvl w:ilvl="5" w:tplc="0BDEC554" w:tentative="1">
      <w:start w:val="1"/>
      <w:numFmt w:val="bullet"/>
      <w:lvlText w:val="○"/>
      <w:lvlJc w:val="left"/>
      <w:pPr>
        <w:tabs>
          <w:tab w:val="num" w:pos="4320"/>
        </w:tabs>
        <w:ind w:left="4320" w:hanging="360"/>
      </w:pPr>
      <w:rPr>
        <w:rFonts w:ascii="Arial" w:hAnsi="Arial" w:hint="default"/>
      </w:rPr>
    </w:lvl>
    <w:lvl w:ilvl="6" w:tplc="BA143BF4" w:tentative="1">
      <w:start w:val="1"/>
      <w:numFmt w:val="bullet"/>
      <w:lvlText w:val="○"/>
      <w:lvlJc w:val="left"/>
      <w:pPr>
        <w:tabs>
          <w:tab w:val="num" w:pos="5040"/>
        </w:tabs>
        <w:ind w:left="5040" w:hanging="360"/>
      </w:pPr>
      <w:rPr>
        <w:rFonts w:ascii="Arial" w:hAnsi="Arial" w:hint="default"/>
      </w:rPr>
    </w:lvl>
    <w:lvl w:ilvl="7" w:tplc="8F041522" w:tentative="1">
      <w:start w:val="1"/>
      <w:numFmt w:val="bullet"/>
      <w:lvlText w:val="○"/>
      <w:lvlJc w:val="left"/>
      <w:pPr>
        <w:tabs>
          <w:tab w:val="num" w:pos="5760"/>
        </w:tabs>
        <w:ind w:left="5760" w:hanging="360"/>
      </w:pPr>
      <w:rPr>
        <w:rFonts w:ascii="Arial" w:hAnsi="Arial" w:hint="default"/>
      </w:rPr>
    </w:lvl>
    <w:lvl w:ilvl="8" w:tplc="36EEA3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553EC0"/>
    <w:multiLevelType w:val="hybridMultilevel"/>
    <w:tmpl w:val="38384708"/>
    <w:lvl w:ilvl="0" w:tplc="54C21B32">
      <w:start w:val="1"/>
      <w:numFmt w:val="bullet"/>
      <w:lvlText w:val="○"/>
      <w:lvlJc w:val="left"/>
      <w:pPr>
        <w:tabs>
          <w:tab w:val="num" w:pos="720"/>
        </w:tabs>
        <w:ind w:left="720" w:hanging="360"/>
      </w:pPr>
      <w:rPr>
        <w:rFonts w:ascii="Arial" w:hAnsi="Arial" w:hint="default"/>
      </w:rPr>
    </w:lvl>
    <w:lvl w:ilvl="1" w:tplc="B10EF3C8">
      <w:start w:val="1"/>
      <w:numFmt w:val="bullet"/>
      <w:lvlText w:val="○"/>
      <w:lvlJc w:val="left"/>
      <w:pPr>
        <w:tabs>
          <w:tab w:val="num" w:pos="1440"/>
        </w:tabs>
        <w:ind w:left="1440" w:hanging="360"/>
      </w:pPr>
      <w:rPr>
        <w:rFonts w:ascii="Arial" w:hAnsi="Arial" w:hint="default"/>
      </w:rPr>
    </w:lvl>
    <w:lvl w:ilvl="2" w:tplc="E5AA3FAC" w:tentative="1">
      <w:start w:val="1"/>
      <w:numFmt w:val="bullet"/>
      <w:lvlText w:val="○"/>
      <w:lvlJc w:val="left"/>
      <w:pPr>
        <w:tabs>
          <w:tab w:val="num" w:pos="2160"/>
        </w:tabs>
        <w:ind w:left="2160" w:hanging="360"/>
      </w:pPr>
      <w:rPr>
        <w:rFonts w:ascii="Arial" w:hAnsi="Arial" w:hint="default"/>
      </w:rPr>
    </w:lvl>
    <w:lvl w:ilvl="3" w:tplc="285CC4A6" w:tentative="1">
      <w:start w:val="1"/>
      <w:numFmt w:val="bullet"/>
      <w:lvlText w:val="○"/>
      <w:lvlJc w:val="left"/>
      <w:pPr>
        <w:tabs>
          <w:tab w:val="num" w:pos="2880"/>
        </w:tabs>
        <w:ind w:left="2880" w:hanging="360"/>
      </w:pPr>
      <w:rPr>
        <w:rFonts w:ascii="Arial" w:hAnsi="Arial" w:hint="default"/>
      </w:rPr>
    </w:lvl>
    <w:lvl w:ilvl="4" w:tplc="C47C6334" w:tentative="1">
      <w:start w:val="1"/>
      <w:numFmt w:val="bullet"/>
      <w:lvlText w:val="○"/>
      <w:lvlJc w:val="left"/>
      <w:pPr>
        <w:tabs>
          <w:tab w:val="num" w:pos="3600"/>
        </w:tabs>
        <w:ind w:left="3600" w:hanging="360"/>
      </w:pPr>
      <w:rPr>
        <w:rFonts w:ascii="Arial" w:hAnsi="Arial" w:hint="default"/>
      </w:rPr>
    </w:lvl>
    <w:lvl w:ilvl="5" w:tplc="2E667D6A" w:tentative="1">
      <w:start w:val="1"/>
      <w:numFmt w:val="bullet"/>
      <w:lvlText w:val="○"/>
      <w:lvlJc w:val="left"/>
      <w:pPr>
        <w:tabs>
          <w:tab w:val="num" w:pos="4320"/>
        </w:tabs>
        <w:ind w:left="4320" w:hanging="360"/>
      </w:pPr>
      <w:rPr>
        <w:rFonts w:ascii="Arial" w:hAnsi="Arial" w:hint="default"/>
      </w:rPr>
    </w:lvl>
    <w:lvl w:ilvl="6" w:tplc="B3EE2AB4" w:tentative="1">
      <w:start w:val="1"/>
      <w:numFmt w:val="bullet"/>
      <w:lvlText w:val="○"/>
      <w:lvlJc w:val="left"/>
      <w:pPr>
        <w:tabs>
          <w:tab w:val="num" w:pos="5040"/>
        </w:tabs>
        <w:ind w:left="5040" w:hanging="360"/>
      </w:pPr>
      <w:rPr>
        <w:rFonts w:ascii="Arial" w:hAnsi="Arial" w:hint="default"/>
      </w:rPr>
    </w:lvl>
    <w:lvl w:ilvl="7" w:tplc="821CE818" w:tentative="1">
      <w:start w:val="1"/>
      <w:numFmt w:val="bullet"/>
      <w:lvlText w:val="○"/>
      <w:lvlJc w:val="left"/>
      <w:pPr>
        <w:tabs>
          <w:tab w:val="num" w:pos="5760"/>
        </w:tabs>
        <w:ind w:left="5760" w:hanging="360"/>
      </w:pPr>
      <w:rPr>
        <w:rFonts w:ascii="Arial" w:hAnsi="Arial" w:hint="default"/>
      </w:rPr>
    </w:lvl>
    <w:lvl w:ilvl="8" w:tplc="A4C0CF2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7D187B"/>
    <w:multiLevelType w:val="hybridMultilevel"/>
    <w:tmpl w:val="9EB2A594"/>
    <w:lvl w:ilvl="0" w:tplc="CC405122">
      <w:start w:val="1"/>
      <w:numFmt w:val="bullet"/>
      <w:lvlText w:val="○"/>
      <w:lvlJc w:val="left"/>
      <w:pPr>
        <w:tabs>
          <w:tab w:val="num" w:pos="720"/>
        </w:tabs>
        <w:ind w:left="720" w:hanging="360"/>
      </w:pPr>
      <w:rPr>
        <w:rFonts w:ascii="Arial" w:hAnsi="Arial" w:hint="default"/>
      </w:rPr>
    </w:lvl>
    <w:lvl w:ilvl="1" w:tplc="18F49C7C">
      <w:start w:val="1"/>
      <w:numFmt w:val="bullet"/>
      <w:lvlText w:val="○"/>
      <w:lvlJc w:val="left"/>
      <w:pPr>
        <w:tabs>
          <w:tab w:val="num" w:pos="1440"/>
        </w:tabs>
        <w:ind w:left="1440" w:hanging="360"/>
      </w:pPr>
      <w:rPr>
        <w:rFonts w:ascii="Arial" w:hAnsi="Arial" w:hint="default"/>
      </w:rPr>
    </w:lvl>
    <w:lvl w:ilvl="2" w:tplc="B8E0EDBA" w:tentative="1">
      <w:start w:val="1"/>
      <w:numFmt w:val="bullet"/>
      <w:lvlText w:val="○"/>
      <w:lvlJc w:val="left"/>
      <w:pPr>
        <w:tabs>
          <w:tab w:val="num" w:pos="2160"/>
        </w:tabs>
        <w:ind w:left="2160" w:hanging="360"/>
      </w:pPr>
      <w:rPr>
        <w:rFonts w:ascii="Arial" w:hAnsi="Arial" w:hint="default"/>
      </w:rPr>
    </w:lvl>
    <w:lvl w:ilvl="3" w:tplc="9C4A4BAC" w:tentative="1">
      <w:start w:val="1"/>
      <w:numFmt w:val="bullet"/>
      <w:lvlText w:val="○"/>
      <w:lvlJc w:val="left"/>
      <w:pPr>
        <w:tabs>
          <w:tab w:val="num" w:pos="2880"/>
        </w:tabs>
        <w:ind w:left="2880" w:hanging="360"/>
      </w:pPr>
      <w:rPr>
        <w:rFonts w:ascii="Arial" w:hAnsi="Arial" w:hint="default"/>
      </w:rPr>
    </w:lvl>
    <w:lvl w:ilvl="4" w:tplc="5D30774E" w:tentative="1">
      <w:start w:val="1"/>
      <w:numFmt w:val="bullet"/>
      <w:lvlText w:val="○"/>
      <w:lvlJc w:val="left"/>
      <w:pPr>
        <w:tabs>
          <w:tab w:val="num" w:pos="3600"/>
        </w:tabs>
        <w:ind w:left="3600" w:hanging="360"/>
      </w:pPr>
      <w:rPr>
        <w:rFonts w:ascii="Arial" w:hAnsi="Arial" w:hint="default"/>
      </w:rPr>
    </w:lvl>
    <w:lvl w:ilvl="5" w:tplc="78E45EF4" w:tentative="1">
      <w:start w:val="1"/>
      <w:numFmt w:val="bullet"/>
      <w:lvlText w:val="○"/>
      <w:lvlJc w:val="left"/>
      <w:pPr>
        <w:tabs>
          <w:tab w:val="num" w:pos="4320"/>
        </w:tabs>
        <w:ind w:left="4320" w:hanging="360"/>
      </w:pPr>
      <w:rPr>
        <w:rFonts w:ascii="Arial" w:hAnsi="Arial" w:hint="default"/>
      </w:rPr>
    </w:lvl>
    <w:lvl w:ilvl="6" w:tplc="31E0D0AE" w:tentative="1">
      <w:start w:val="1"/>
      <w:numFmt w:val="bullet"/>
      <w:lvlText w:val="○"/>
      <w:lvlJc w:val="left"/>
      <w:pPr>
        <w:tabs>
          <w:tab w:val="num" w:pos="5040"/>
        </w:tabs>
        <w:ind w:left="5040" w:hanging="360"/>
      </w:pPr>
      <w:rPr>
        <w:rFonts w:ascii="Arial" w:hAnsi="Arial" w:hint="default"/>
      </w:rPr>
    </w:lvl>
    <w:lvl w:ilvl="7" w:tplc="29F03AE4" w:tentative="1">
      <w:start w:val="1"/>
      <w:numFmt w:val="bullet"/>
      <w:lvlText w:val="○"/>
      <w:lvlJc w:val="left"/>
      <w:pPr>
        <w:tabs>
          <w:tab w:val="num" w:pos="5760"/>
        </w:tabs>
        <w:ind w:left="5760" w:hanging="360"/>
      </w:pPr>
      <w:rPr>
        <w:rFonts w:ascii="Arial" w:hAnsi="Arial" w:hint="default"/>
      </w:rPr>
    </w:lvl>
    <w:lvl w:ilvl="8" w:tplc="8A28AA7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FBD5874"/>
    <w:multiLevelType w:val="hybridMultilevel"/>
    <w:tmpl w:val="C5780C58"/>
    <w:lvl w:ilvl="0" w:tplc="04090001">
      <w:start w:val="1"/>
      <w:numFmt w:val="bullet"/>
      <w:lvlText w:val=""/>
      <w:lvlJc w:val="left"/>
      <w:pPr>
        <w:tabs>
          <w:tab w:val="num" w:pos="720"/>
        </w:tabs>
        <w:ind w:left="720" w:hanging="360"/>
      </w:pPr>
      <w:rPr>
        <w:rFonts w:ascii="Symbol" w:hAnsi="Symbol" w:hint="default"/>
      </w:rPr>
    </w:lvl>
    <w:lvl w:ilvl="1" w:tplc="8C704AEC">
      <w:start w:val="1"/>
      <w:numFmt w:val="bullet"/>
      <w:lvlText w:val="○"/>
      <w:lvlJc w:val="left"/>
      <w:pPr>
        <w:tabs>
          <w:tab w:val="num" w:pos="1440"/>
        </w:tabs>
        <w:ind w:left="1440" w:hanging="360"/>
      </w:pPr>
      <w:rPr>
        <w:rFonts w:ascii="Arial" w:hAnsi="Arial" w:hint="default"/>
      </w:rPr>
    </w:lvl>
    <w:lvl w:ilvl="2" w:tplc="BC18636E">
      <w:start w:val="1"/>
      <w:numFmt w:val="bullet"/>
      <w:lvlText w:val="○"/>
      <w:lvlJc w:val="left"/>
      <w:pPr>
        <w:tabs>
          <w:tab w:val="num" w:pos="2160"/>
        </w:tabs>
        <w:ind w:left="2160" w:hanging="360"/>
      </w:pPr>
      <w:rPr>
        <w:rFonts w:ascii="Arial" w:hAnsi="Arial" w:hint="default"/>
      </w:rPr>
    </w:lvl>
    <w:lvl w:ilvl="3" w:tplc="10E6B74E" w:tentative="1">
      <w:start w:val="1"/>
      <w:numFmt w:val="bullet"/>
      <w:lvlText w:val="○"/>
      <w:lvlJc w:val="left"/>
      <w:pPr>
        <w:tabs>
          <w:tab w:val="num" w:pos="2880"/>
        </w:tabs>
        <w:ind w:left="2880" w:hanging="360"/>
      </w:pPr>
      <w:rPr>
        <w:rFonts w:ascii="Arial" w:hAnsi="Arial" w:hint="default"/>
      </w:rPr>
    </w:lvl>
    <w:lvl w:ilvl="4" w:tplc="B6C2C28E" w:tentative="1">
      <w:start w:val="1"/>
      <w:numFmt w:val="bullet"/>
      <w:lvlText w:val="○"/>
      <w:lvlJc w:val="left"/>
      <w:pPr>
        <w:tabs>
          <w:tab w:val="num" w:pos="3600"/>
        </w:tabs>
        <w:ind w:left="3600" w:hanging="360"/>
      </w:pPr>
      <w:rPr>
        <w:rFonts w:ascii="Arial" w:hAnsi="Arial" w:hint="default"/>
      </w:rPr>
    </w:lvl>
    <w:lvl w:ilvl="5" w:tplc="7A04679C" w:tentative="1">
      <w:start w:val="1"/>
      <w:numFmt w:val="bullet"/>
      <w:lvlText w:val="○"/>
      <w:lvlJc w:val="left"/>
      <w:pPr>
        <w:tabs>
          <w:tab w:val="num" w:pos="4320"/>
        </w:tabs>
        <w:ind w:left="4320" w:hanging="360"/>
      </w:pPr>
      <w:rPr>
        <w:rFonts w:ascii="Arial" w:hAnsi="Arial" w:hint="default"/>
      </w:rPr>
    </w:lvl>
    <w:lvl w:ilvl="6" w:tplc="26D40E7C" w:tentative="1">
      <w:start w:val="1"/>
      <w:numFmt w:val="bullet"/>
      <w:lvlText w:val="○"/>
      <w:lvlJc w:val="left"/>
      <w:pPr>
        <w:tabs>
          <w:tab w:val="num" w:pos="5040"/>
        </w:tabs>
        <w:ind w:left="5040" w:hanging="360"/>
      </w:pPr>
      <w:rPr>
        <w:rFonts w:ascii="Arial" w:hAnsi="Arial" w:hint="default"/>
      </w:rPr>
    </w:lvl>
    <w:lvl w:ilvl="7" w:tplc="26B2EEF8" w:tentative="1">
      <w:start w:val="1"/>
      <w:numFmt w:val="bullet"/>
      <w:lvlText w:val="○"/>
      <w:lvlJc w:val="left"/>
      <w:pPr>
        <w:tabs>
          <w:tab w:val="num" w:pos="5760"/>
        </w:tabs>
        <w:ind w:left="5760" w:hanging="360"/>
      </w:pPr>
      <w:rPr>
        <w:rFonts w:ascii="Arial" w:hAnsi="Arial" w:hint="default"/>
      </w:rPr>
    </w:lvl>
    <w:lvl w:ilvl="8" w:tplc="41D8537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53F0A71"/>
    <w:multiLevelType w:val="hybridMultilevel"/>
    <w:tmpl w:val="7958C85C"/>
    <w:lvl w:ilvl="0" w:tplc="FC74979A">
      <w:start w:val="1"/>
      <w:numFmt w:val="bullet"/>
      <w:lvlText w:val="○"/>
      <w:lvlJc w:val="left"/>
      <w:pPr>
        <w:tabs>
          <w:tab w:val="num" w:pos="720"/>
        </w:tabs>
        <w:ind w:left="720" w:hanging="360"/>
      </w:pPr>
      <w:rPr>
        <w:rFonts w:ascii="Arial" w:hAnsi="Arial" w:hint="default"/>
      </w:rPr>
    </w:lvl>
    <w:lvl w:ilvl="1" w:tplc="79401C44">
      <w:start w:val="1"/>
      <w:numFmt w:val="bullet"/>
      <w:lvlText w:val="○"/>
      <w:lvlJc w:val="left"/>
      <w:pPr>
        <w:tabs>
          <w:tab w:val="num" w:pos="1440"/>
        </w:tabs>
        <w:ind w:left="1440" w:hanging="360"/>
      </w:pPr>
      <w:rPr>
        <w:rFonts w:ascii="Arial" w:hAnsi="Arial" w:hint="default"/>
      </w:rPr>
    </w:lvl>
    <w:lvl w:ilvl="2" w:tplc="D124F028" w:tentative="1">
      <w:start w:val="1"/>
      <w:numFmt w:val="bullet"/>
      <w:lvlText w:val="○"/>
      <w:lvlJc w:val="left"/>
      <w:pPr>
        <w:tabs>
          <w:tab w:val="num" w:pos="2160"/>
        </w:tabs>
        <w:ind w:left="2160" w:hanging="360"/>
      </w:pPr>
      <w:rPr>
        <w:rFonts w:ascii="Arial" w:hAnsi="Arial" w:hint="default"/>
      </w:rPr>
    </w:lvl>
    <w:lvl w:ilvl="3" w:tplc="C8E8126C" w:tentative="1">
      <w:start w:val="1"/>
      <w:numFmt w:val="bullet"/>
      <w:lvlText w:val="○"/>
      <w:lvlJc w:val="left"/>
      <w:pPr>
        <w:tabs>
          <w:tab w:val="num" w:pos="2880"/>
        </w:tabs>
        <w:ind w:left="2880" w:hanging="360"/>
      </w:pPr>
      <w:rPr>
        <w:rFonts w:ascii="Arial" w:hAnsi="Arial" w:hint="default"/>
      </w:rPr>
    </w:lvl>
    <w:lvl w:ilvl="4" w:tplc="11507AFC" w:tentative="1">
      <w:start w:val="1"/>
      <w:numFmt w:val="bullet"/>
      <w:lvlText w:val="○"/>
      <w:lvlJc w:val="left"/>
      <w:pPr>
        <w:tabs>
          <w:tab w:val="num" w:pos="3600"/>
        </w:tabs>
        <w:ind w:left="3600" w:hanging="360"/>
      </w:pPr>
      <w:rPr>
        <w:rFonts w:ascii="Arial" w:hAnsi="Arial" w:hint="default"/>
      </w:rPr>
    </w:lvl>
    <w:lvl w:ilvl="5" w:tplc="ADE81190" w:tentative="1">
      <w:start w:val="1"/>
      <w:numFmt w:val="bullet"/>
      <w:lvlText w:val="○"/>
      <w:lvlJc w:val="left"/>
      <w:pPr>
        <w:tabs>
          <w:tab w:val="num" w:pos="4320"/>
        </w:tabs>
        <w:ind w:left="4320" w:hanging="360"/>
      </w:pPr>
      <w:rPr>
        <w:rFonts w:ascii="Arial" w:hAnsi="Arial" w:hint="default"/>
      </w:rPr>
    </w:lvl>
    <w:lvl w:ilvl="6" w:tplc="30A469EA" w:tentative="1">
      <w:start w:val="1"/>
      <w:numFmt w:val="bullet"/>
      <w:lvlText w:val="○"/>
      <w:lvlJc w:val="left"/>
      <w:pPr>
        <w:tabs>
          <w:tab w:val="num" w:pos="5040"/>
        </w:tabs>
        <w:ind w:left="5040" w:hanging="360"/>
      </w:pPr>
      <w:rPr>
        <w:rFonts w:ascii="Arial" w:hAnsi="Arial" w:hint="default"/>
      </w:rPr>
    </w:lvl>
    <w:lvl w:ilvl="7" w:tplc="A4A60DD2" w:tentative="1">
      <w:start w:val="1"/>
      <w:numFmt w:val="bullet"/>
      <w:lvlText w:val="○"/>
      <w:lvlJc w:val="left"/>
      <w:pPr>
        <w:tabs>
          <w:tab w:val="num" w:pos="5760"/>
        </w:tabs>
        <w:ind w:left="5760" w:hanging="360"/>
      </w:pPr>
      <w:rPr>
        <w:rFonts w:ascii="Arial" w:hAnsi="Arial" w:hint="default"/>
      </w:rPr>
    </w:lvl>
    <w:lvl w:ilvl="8" w:tplc="78862A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7871CAC"/>
    <w:multiLevelType w:val="hybridMultilevel"/>
    <w:tmpl w:val="40C67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1tzAzNDUwtTAxMrRU0lEKTi0uzszPAykwrAUAxAk5giwAAAA="/>
  </w:docVars>
  <w:rsids>
    <w:rsidRoot w:val="00453DBC"/>
    <w:rsid w:val="000306EF"/>
    <w:rsid w:val="000B5B41"/>
    <w:rsid w:val="000B6A41"/>
    <w:rsid w:val="00180505"/>
    <w:rsid w:val="001851BD"/>
    <w:rsid w:val="001A1CD5"/>
    <w:rsid w:val="0025453B"/>
    <w:rsid w:val="003073F8"/>
    <w:rsid w:val="00311A58"/>
    <w:rsid w:val="003D7AB4"/>
    <w:rsid w:val="00453DBC"/>
    <w:rsid w:val="005827BD"/>
    <w:rsid w:val="00663FA7"/>
    <w:rsid w:val="006E0C5C"/>
    <w:rsid w:val="008C1CB7"/>
    <w:rsid w:val="008E1ED8"/>
    <w:rsid w:val="00976B0E"/>
    <w:rsid w:val="009B6ABD"/>
    <w:rsid w:val="00A32534"/>
    <w:rsid w:val="00B17C7B"/>
    <w:rsid w:val="00B65719"/>
    <w:rsid w:val="00B90E48"/>
    <w:rsid w:val="00C71DDA"/>
    <w:rsid w:val="00CB1385"/>
    <w:rsid w:val="00CE18A7"/>
    <w:rsid w:val="00CF20FE"/>
    <w:rsid w:val="00D074AF"/>
    <w:rsid w:val="00D3400C"/>
    <w:rsid w:val="00E92C92"/>
    <w:rsid w:val="00F85890"/>
    <w:rsid w:val="00F927A1"/>
    <w:rsid w:val="00FA340B"/>
    <w:rsid w:val="00FF4D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F5909"/>
  <w15:chartTrackingRefBased/>
  <w15:docId w15:val="{9B7228D4-0C38-49E1-A23C-DB0285C5C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1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6A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6AB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9B6ABD"/>
    <w:rPr>
      <w:color w:val="5A5A5A" w:themeColor="text1" w:themeTint="A5"/>
      <w:spacing w:val="15"/>
    </w:rPr>
  </w:style>
  <w:style w:type="character" w:customStyle="1" w:styleId="Heading1Char">
    <w:name w:val="Heading 1 Char"/>
    <w:basedOn w:val="DefaultParagraphFont"/>
    <w:link w:val="Heading1"/>
    <w:uiPriority w:val="9"/>
    <w:rsid w:val="009B6AB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E18A7"/>
    <w:pPr>
      <w:spacing w:after="0" w:line="240" w:lineRule="auto"/>
    </w:pPr>
  </w:style>
  <w:style w:type="character" w:customStyle="1" w:styleId="Heading2Char">
    <w:name w:val="Heading 2 Char"/>
    <w:basedOn w:val="DefaultParagraphFont"/>
    <w:link w:val="Heading2"/>
    <w:uiPriority w:val="9"/>
    <w:rsid w:val="00CE18A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CE1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E18A7"/>
    <w:rPr>
      <w:rFonts w:ascii="Courier New" w:eastAsia="Times New Roman" w:hAnsi="Courier New" w:cs="Courier New"/>
      <w:sz w:val="20"/>
      <w:szCs w:val="20"/>
    </w:rPr>
  </w:style>
  <w:style w:type="table" w:styleId="TableGrid">
    <w:name w:val="Table Grid"/>
    <w:basedOn w:val="TableNormal"/>
    <w:uiPriority w:val="39"/>
    <w:rsid w:val="00FA3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A340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FA340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3">
    <w:name w:val="Plain Table 3"/>
    <w:basedOn w:val="TableNormal"/>
    <w:uiPriority w:val="43"/>
    <w:rsid w:val="00FA34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306EF"/>
    <w:pPr>
      <w:ind w:left="720"/>
      <w:contextualSpacing/>
    </w:pPr>
  </w:style>
  <w:style w:type="paragraph" w:styleId="Header">
    <w:name w:val="header"/>
    <w:basedOn w:val="Normal"/>
    <w:link w:val="HeaderChar"/>
    <w:uiPriority w:val="99"/>
    <w:unhideWhenUsed/>
    <w:rsid w:val="00B17C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B17C7B"/>
  </w:style>
  <w:style w:type="paragraph" w:styleId="Footer">
    <w:name w:val="footer"/>
    <w:basedOn w:val="Normal"/>
    <w:link w:val="FooterChar"/>
    <w:uiPriority w:val="99"/>
    <w:unhideWhenUsed/>
    <w:rsid w:val="00B17C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B17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3616">
      <w:bodyDiv w:val="1"/>
      <w:marLeft w:val="0"/>
      <w:marRight w:val="0"/>
      <w:marTop w:val="0"/>
      <w:marBottom w:val="0"/>
      <w:divBdr>
        <w:top w:val="none" w:sz="0" w:space="0" w:color="auto"/>
        <w:left w:val="none" w:sz="0" w:space="0" w:color="auto"/>
        <w:bottom w:val="none" w:sz="0" w:space="0" w:color="auto"/>
        <w:right w:val="none" w:sz="0" w:space="0" w:color="auto"/>
      </w:divBdr>
    </w:div>
    <w:div w:id="73817032">
      <w:bodyDiv w:val="1"/>
      <w:marLeft w:val="0"/>
      <w:marRight w:val="0"/>
      <w:marTop w:val="0"/>
      <w:marBottom w:val="0"/>
      <w:divBdr>
        <w:top w:val="none" w:sz="0" w:space="0" w:color="auto"/>
        <w:left w:val="none" w:sz="0" w:space="0" w:color="auto"/>
        <w:bottom w:val="none" w:sz="0" w:space="0" w:color="auto"/>
        <w:right w:val="none" w:sz="0" w:space="0" w:color="auto"/>
      </w:divBdr>
      <w:divsChild>
        <w:div w:id="1413116192">
          <w:marLeft w:val="720"/>
          <w:marRight w:val="0"/>
          <w:marTop w:val="0"/>
          <w:marBottom w:val="0"/>
          <w:divBdr>
            <w:top w:val="none" w:sz="0" w:space="0" w:color="auto"/>
            <w:left w:val="none" w:sz="0" w:space="0" w:color="auto"/>
            <w:bottom w:val="none" w:sz="0" w:space="0" w:color="auto"/>
            <w:right w:val="none" w:sz="0" w:space="0" w:color="auto"/>
          </w:divBdr>
        </w:div>
      </w:divsChild>
    </w:div>
    <w:div w:id="93980252">
      <w:bodyDiv w:val="1"/>
      <w:marLeft w:val="0"/>
      <w:marRight w:val="0"/>
      <w:marTop w:val="0"/>
      <w:marBottom w:val="0"/>
      <w:divBdr>
        <w:top w:val="none" w:sz="0" w:space="0" w:color="auto"/>
        <w:left w:val="none" w:sz="0" w:space="0" w:color="auto"/>
        <w:bottom w:val="none" w:sz="0" w:space="0" w:color="auto"/>
        <w:right w:val="none" w:sz="0" w:space="0" w:color="auto"/>
      </w:divBdr>
    </w:div>
    <w:div w:id="194584173">
      <w:bodyDiv w:val="1"/>
      <w:marLeft w:val="0"/>
      <w:marRight w:val="0"/>
      <w:marTop w:val="0"/>
      <w:marBottom w:val="0"/>
      <w:divBdr>
        <w:top w:val="none" w:sz="0" w:space="0" w:color="auto"/>
        <w:left w:val="none" w:sz="0" w:space="0" w:color="auto"/>
        <w:bottom w:val="none" w:sz="0" w:space="0" w:color="auto"/>
        <w:right w:val="none" w:sz="0" w:space="0" w:color="auto"/>
      </w:divBdr>
    </w:div>
    <w:div w:id="267930907">
      <w:bodyDiv w:val="1"/>
      <w:marLeft w:val="0"/>
      <w:marRight w:val="0"/>
      <w:marTop w:val="0"/>
      <w:marBottom w:val="0"/>
      <w:divBdr>
        <w:top w:val="none" w:sz="0" w:space="0" w:color="auto"/>
        <w:left w:val="none" w:sz="0" w:space="0" w:color="auto"/>
        <w:bottom w:val="none" w:sz="0" w:space="0" w:color="auto"/>
        <w:right w:val="none" w:sz="0" w:space="0" w:color="auto"/>
      </w:divBdr>
      <w:divsChild>
        <w:div w:id="637227057">
          <w:marLeft w:val="1440"/>
          <w:marRight w:val="0"/>
          <w:marTop w:val="0"/>
          <w:marBottom w:val="0"/>
          <w:divBdr>
            <w:top w:val="none" w:sz="0" w:space="0" w:color="auto"/>
            <w:left w:val="none" w:sz="0" w:space="0" w:color="auto"/>
            <w:bottom w:val="none" w:sz="0" w:space="0" w:color="auto"/>
            <w:right w:val="none" w:sz="0" w:space="0" w:color="auto"/>
          </w:divBdr>
        </w:div>
      </w:divsChild>
    </w:div>
    <w:div w:id="275410512">
      <w:bodyDiv w:val="1"/>
      <w:marLeft w:val="0"/>
      <w:marRight w:val="0"/>
      <w:marTop w:val="0"/>
      <w:marBottom w:val="0"/>
      <w:divBdr>
        <w:top w:val="none" w:sz="0" w:space="0" w:color="auto"/>
        <w:left w:val="none" w:sz="0" w:space="0" w:color="auto"/>
        <w:bottom w:val="none" w:sz="0" w:space="0" w:color="auto"/>
        <w:right w:val="none" w:sz="0" w:space="0" w:color="auto"/>
      </w:divBdr>
    </w:div>
    <w:div w:id="476185058">
      <w:bodyDiv w:val="1"/>
      <w:marLeft w:val="0"/>
      <w:marRight w:val="0"/>
      <w:marTop w:val="0"/>
      <w:marBottom w:val="0"/>
      <w:divBdr>
        <w:top w:val="none" w:sz="0" w:space="0" w:color="auto"/>
        <w:left w:val="none" w:sz="0" w:space="0" w:color="auto"/>
        <w:bottom w:val="none" w:sz="0" w:space="0" w:color="auto"/>
        <w:right w:val="none" w:sz="0" w:space="0" w:color="auto"/>
      </w:divBdr>
    </w:div>
    <w:div w:id="554203049">
      <w:bodyDiv w:val="1"/>
      <w:marLeft w:val="0"/>
      <w:marRight w:val="0"/>
      <w:marTop w:val="0"/>
      <w:marBottom w:val="0"/>
      <w:divBdr>
        <w:top w:val="none" w:sz="0" w:space="0" w:color="auto"/>
        <w:left w:val="none" w:sz="0" w:space="0" w:color="auto"/>
        <w:bottom w:val="none" w:sz="0" w:space="0" w:color="auto"/>
        <w:right w:val="none" w:sz="0" w:space="0" w:color="auto"/>
      </w:divBdr>
    </w:div>
    <w:div w:id="642003318">
      <w:bodyDiv w:val="1"/>
      <w:marLeft w:val="0"/>
      <w:marRight w:val="0"/>
      <w:marTop w:val="0"/>
      <w:marBottom w:val="0"/>
      <w:divBdr>
        <w:top w:val="none" w:sz="0" w:space="0" w:color="auto"/>
        <w:left w:val="none" w:sz="0" w:space="0" w:color="auto"/>
        <w:bottom w:val="none" w:sz="0" w:space="0" w:color="auto"/>
        <w:right w:val="none" w:sz="0" w:space="0" w:color="auto"/>
      </w:divBdr>
      <w:divsChild>
        <w:div w:id="372190977">
          <w:marLeft w:val="720"/>
          <w:marRight w:val="0"/>
          <w:marTop w:val="200"/>
          <w:marBottom w:val="0"/>
          <w:divBdr>
            <w:top w:val="none" w:sz="0" w:space="0" w:color="auto"/>
            <w:left w:val="none" w:sz="0" w:space="0" w:color="auto"/>
            <w:bottom w:val="none" w:sz="0" w:space="0" w:color="auto"/>
            <w:right w:val="none" w:sz="0" w:space="0" w:color="auto"/>
          </w:divBdr>
        </w:div>
        <w:div w:id="93984421">
          <w:marLeft w:val="720"/>
          <w:marRight w:val="0"/>
          <w:marTop w:val="0"/>
          <w:marBottom w:val="0"/>
          <w:divBdr>
            <w:top w:val="none" w:sz="0" w:space="0" w:color="auto"/>
            <w:left w:val="none" w:sz="0" w:space="0" w:color="auto"/>
            <w:bottom w:val="none" w:sz="0" w:space="0" w:color="auto"/>
            <w:right w:val="none" w:sz="0" w:space="0" w:color="auto"/>
          </w:divBdr>
        </w:div>
        <w:div w:id="2012288918">
          <w:marLeft w:val="720"/>
          <w:marRight w:val="0"/>
          <w:marTop w:val="0"/>
          <w:marBottom w:val="0"/>
          <w:divBdr>
            <w:top w:val="none" w:sz="0" w:space="0" w:color="auto"/>
            <w:left w:val="none" w:sz="0" w:space="0" w:color="auto"/>
            <w:bottom w:val="none" w:sz="0" w:space="0" w:color="auto"/>
            <w:right w:val="none" w:sz="0" w:space="0" w:color="auto"/>
          </w:divBdr>
        </w:div>
        <w:div w:id="1344669159">
          <w:marLeft w:val="720"/>
          <w:marRight w:val="0"/>
          <w:marTop w:val="0"/>
          <w:marBottom w:val="0"/>
          <w:divBdr>
            <w:top w:val="none" w:sz="0" w:space="0" w:color="auto"/>
            <w:left w:val="none" w:sz="0" w:space="0" w:color="auto"/>
            <w:bottom w:val="none" w:sz="0" w:space="0" w:color="auto"/>
            <w:right w:val="none" w:sz="0" w:space="0" w:color="auto"/>
          </w:divBdr>
        </w:div>
        <w:div w:id="436677589">
          <w:marLeft w:val="720"/>
          <w:marRight w:val="0"/>
          <w:marTop w:val="0"/>
          <w:marBottom w:val="0"/>
          <w:divBdr>
            <w:top w:val="none" w:sz="0" w:space="0" w:color="auto"/>
            <w:left w:val="none" w:sz="0" w:space="0" w:color="auto"/>
            <w:bottom w:val="none" w:sz="0" w:space="0" w:color="auto"/>
            <w:right w:val="none" w:sz="0" w:space="0" w:color="auto"/>
          </w:divBdr>
        </w:div>
      </w:divsChild>
    </w:div>
    <w:div w:id="659117657">
      <w:bodyDiv w:val="1"/>
      <w:marLeft w:val="0"/>
      <w:marRight w:val="0"/>
      <w:marTop w:val="0"/>
      <w:marBottom w:val="0"/>
      <w:divBdr>
        <w:top w:val="none" w:sz="0" w:space="0" w:color="auto"/>
        <w:left w:val="none" w:sz="0" w:space="0" w:color="auto"/>
        <w:bottom w:val="none" w:sz="0" w:space="0" w:color="auto"/>
        <w:right w:val="none" w:sz="0" w:space="0" w:color="auto"/>
      </w:divBdr>
    </w:div>
    <w:div w:id="701710023">
      <w:bodyDiv w:val="1"/>
      <w:marLeft w:val="0"/>
      <w:marRight w:val="0"/>
      <w:marTop w:val="0"/>
      <w:marBottom w:val="0"/>
      <w:divBdr>
        <w:top w:val="none" w:sz="0" w:space="0" w:color="auto"/>
        <w:left w:val="none" w:sz="0" w:space="0" w:color="auto"/>
        <w:bottom w:val="none" w:sz="0" w:space="0" w:color="auto"/>
        <w:right w:val="none" w:sz="0" w:space="0" w:color="auto"/>
      </w:divBdr>
      <w:divsChild>
        <w:div w:id="1940864829">
          <w:marLeft w:val="1440"/>
          <w:marRight w:val="0"/>
          <w:marTop w:val="0"/>
          <w:marBottom w:val="0"/>
          <w:divBdr>
            <w:top w:val="none" w:sz="0" w:space="0" w:color="auto"/>
            <w:left w:val="none" w:sz="0" w:space="0" w:color="auto"/>
            <w:bottom w:val="none" w:sz="0" w:space="0" w:color="auto"/>
            <w:right w:val="none" w:sz="0" w:space="0" w:color="auto"/>
          </w:divBdr>
        </w:div>
      </w:divsChild>
    </w:div>
    <w:div w:id="745538500">
      <w:bodyDiv w:val="1"/>
      <w:marLeft w:val="0"/>
      <w:marRight w:val="0"/>
      <w:marTop w:val="0"/>
      <w:marBottom w:val="0"/>
      <w:divBdr>
        <w:top w:val="none" w:sz="0" w:space="0" w:color="auto"/>
        <w:left w:val="none" w:sz="0" w:space="0" w:color="auto"/>
        <w:bottom w:val="none" w:sz="0" w:space="0" w:color="auto"/>
        <w:right w:val="none" w:sz="0" w:space="0" w:color="auto"/>
      </w:divBdr>
    </w:div>
    <w:div w:id="752049293">
      <w:bodyDiv w:val="1"/>
      <w:marLeft w:val="0"/>
      <w:marRight w:val="0"/>
      <w:marTop w:val="0"/>
      <w:marBottom w:val="0"/>
      <w:divBdr>
        <w:top w:val="none" w:sz="0" w:space="0" w:color="auto"/>
        <w:left w:val="none" w:sz="0" w:space="0" w:color="auto"/>
        <w:bottom w:val="none" w:sz="0" w:space="0" w:color="auto"/>
        <w:right w:val="none" w:sz="0" w:space="0" w:color="auto"/>
      </w:divBdr>
    </w:div>
    <w:div w:id="777719423">
      <w:bodyDiv w:val="1"/>
      <w:marLeft w:val="0"/>
      <w:marRight w:val="0"/>
      <w:marTop w:val="0"/>
      <w:marBottom w:val="0"/>
      <w:divBdr>
        <w:top w:val="none" w:sz="0" w:space="0" w:color="auto"/>
        <w:left w:val="none" w:sz="0" w:space="0" w:color="auto"/>
        <w:bottom w:val="none" w:sz="0" w:space="0" w:color="auto"/>
        <w:right w:val="none" w:sz="0" w:space="0" w:color="auto"/>
      </w:divBdr>
    </w:div>
    <w:div w:id="940718443">
      <w:bodyDiv w:val="1"/>
      <w:marLeft w:val="0"/>
      <w:marRight w:val="0"/>
      <w:marTop w:val="0"/>
      <w:marBottom w:val="0"/>
      <w:divBdr>
        <w:top w:val="none" w:sz="0" w:space="0" w:color="auto"/>
        <w:left w:val="none" w:sz="0" w:space="0" w:color="auto"/>
        <w:bottom w:val="none" w:sz="0" w:space="0" w:color="auto"/>
        <w:right w:val="none" w:sz="0" w:space="0" w:color="auto"/>
      </w:divBdr>
    </w:div>
    <w:div w:id="1020933091">
      <w:bodyDiv w:val="1"/>
      <w:marLeft w:val="0"/>
      <w:marRight w:val="0"/>
      <w:marTop w:val="0"/>
      <w:marBottom w:val="0"/>
      <w:divBdr>
        <w:top w:val="none" w:sz="0" w:space="0" w:color="auto"/>
        <w:left w:val="none" w:sz="0" w:space="0" w:color="auto"/>
        <w:bottom w:val="none" w:sz="0" w:space="0" w:color="auto"/>
        <w:right w:val="none" w:sz="0" w:space="0" w:color="auto"/>
      </w:divBdr>
    </w:div>
    <w:div w:id="1117139215">
      <w:bodyDiv w:val="1"/>
      <w:marLeft w:val="0"/>
      <w:marRight w:val="0"/>
      <w:marTop w:val="0"/>
      <w:marBottom w:val="0"/>
      <w:divBdr>
        <w:top w:val="none" w:sz="0" w:space="0" w:color="auto"/>
        <w:left w:val="none" w:sz="0" w:space="0" w:color="auto"/>
        <w:bottom w:val="none" w:sz="0" w:space="0" w:color="auto"/>
        <w:right w:val="none" w:sz="0" w:space="0" w:color="auto"/>
      </w:divBdr>
    </w:div>
    <w:div w:id="1119684874">
      <w:bodyDiv w:val="1"/>
      <w:marLeft w:val="0"/>
      <w:marRight w:val="0"/>
      <w:marTop w:val="0"/>
      <w:marBottom w:val="0"/>
      <w:divBdr>
        <w:top w:val="none" w:sz="0" w:space="0" w:color="auto"/>
        <w:left w:val="none" w:sz="0" w:space="0" w:color="auto"/>
        <w:bottom w:val="none" w:sz="0" w:space="0" w:color="auto"/>
        <w:right w:val="none" w:sz="0" w:space="0" w:color="auto"/>
      </w:divBdr>
    </w:div>
    <w:div w:id="1120101784">
      <w:bodyDiv w:val="1"/>
      <w:marLeft w:val="0"/>
      <w:marRight w:val="0"/>
      <w:marTop w:val="0"/>
      <w:marBottom w:val="0"/>
      <w:divBdr>
        <w:top w:val="none" w:sz="0" w:space="0" w:color="auto"/>
        <w:left w:val="none" w:sz="0" w:space="0" w:color="auto"/>
        <w:bottom w:val="none" w:sz="0" w:space="0" w:color="auto"/>
        <w:right w:val="none" w:sz="0" w:space="0" w:color="auto"/>
      </w:divBdr>
      <w:divsChild>
        <w:div w:id="909271052">
          <w:marLeft w:val="1440"/>
          <w:marRight w:val="0"/>
          <w:marTop w:val="0"/>
          <w:marBottom w:val="0"/>
          <w:divBdr>
            <w:top w:val="none" w:sz="0" w:space="0" w:color="auto"/>
            <w:left w:val="none" w:sz="0" w:space="0" w:color="auto"/>
            <w:bottom w:val="none" w:sz="0" w:space="0" w:color="auto"/>
            <w:right w:val="none" w:sz="0" w:space="0" w:color="auto"/>
          </w:divBdr>
        </w:div>
      </w:divsChild>
    </w:div>
    <w:div w:id="1349869198">
      <w:bodyDiv w:val="1"/>
      <w:marLeft w:val="0"/>
      <w:marRight w:val="0"/>
      <w:marTop w:val="0"/>
      <w:marBottom w:val="0"/>
      <w:divBdr>
        <w:top w:val="none" w:sz="0" w:space="0" w:color="auto"/>
        <w:left w:val="none" w:sz="0" w:space="0" w:color="auto"/>
        <w:bottom w:val="none" w:sz="0" w:space="0" w:color="auto"/>
        <w:right w:val="none" w:sz="0" w:space="0" w:color="auto"/>
      </w:divBdr>
      <w:divsChild>
        <w:div w:id="1291745107">
          <w:marLeft w:val="1440"/>
          <w:marRight w:val="0"/>
          <w:marTop w:val="0"/>
          <w:marBottom w:val="0"/>
          <w:divBdr>
            <w:top w:val="none" w:sz="0" w:space="0" w:color="auto"/>
            <w:left w:val="none" w:sz="0" w:space="0" w:color="auto"/>
            <w:bottom w:val="none" w:sz="0" w:space="0" w:color="auto"/>
            <w:right w:val="none" w:sz="0" w:space="0" w:color="auto"/>
          </w:divBdr>
        </w:div>
      </w:divsChild>
    </w:div>
    <w:div w:id="1410540014">
      <w:bodyDiv w:val="1"/>
      <w:marLeft w:val="0"/>
      <w:marRight w:val="0"/>
      <w:marTop w:val="0"/>
      <w:marBottom w:val="0"/>
      <w:divBdr>
        <w:top w:val="none" w:sz="0" w:space="0" w:color="auto"/>
        <w:left w:val="none" w:sz="0" w:space="0" w:color="auto"/>
        <w:bottom w:val="none" w:sz="0" w:space="0" w:color="auto"/>
        <w:right w:val="none" w:sz="0" w:space="0" w:color="auto"/>
      </w:divBdr>
    </w:div>
    <w:div w:id="1442990234">
      <w:bodyDiv w:val="1"/>
      <w:marLeft w:val="0"/>
      <w:marRight w:val="0"/>
      <w:marTop w:val="0"/>
      <w:marBottom w:val="0"/>
      <w:divBdr>
        <w:top w:val="none" w:sz="0" w:space="0" w:color="auto"/>
        <w:left w:val="none" w:sz="0" w:space="0" w:color="auto"/>
        <w:bottom w:val="none" w:sz="0" w:space="0" w:color="auto"/>
        <w:right w:val="none" w:sz="0" w:space="0" w:color="auto"/>
      </w:divBdr>
    </w:div>
    <w:div w:id="1445274638">
      <w:bodyDiv w:val="1"/>
      <w:marLeft w:val="0"/>
      <w:marRight w:val="0"/>
      <w:marTop w:val="0"/>
      <w:marBottom w:val="0"/>
      <w:divBdr>
        <w:top w:val="none" w:sz="0" w:space="0" w:color="auto"/>
        <w:left w:val="none" w:sz="0" w:space="0" w:color="auto"/>
        <w:bottom w:val="none" w:sz="0" w:space="0" w:color="auto"/>
        <w:right w:val="none" w:sz="0" w:space="0" w:color="auto"/>
      </w:divBdr>
    </w:div>
    <w:div w:id="1454059632">
      <w:bodyDiv w:val="1"/>
      <w:marLeft w:val="0"/>
      <w:marRight w:val="0"/>
      <w:marTop w:val="0"/>
      <w:marBottom w:val="0"/>
      <w:divBdr>
        <w:top w:val="none" w:sz="0" w:space="0" w:color="auto"/>
        <w:left w:val="none" w:sz="0" w:space="0" w:color="auto"/>
        <w:bottom w:val="none" w:sz="0" w:space="0" w:color="auto"/>
        <w:right w:val="none" w:sz="0" w:space="0" w:color="auto"/>
      </w:divBdr>
    </w:div>
    <w:div w:id="1542402245">
      <w:bodyDiv w:val="1"/>
      <w:marLeft w:val="0"/>
      <w:marRight w:val="0"/>
      <w:marTop w:val="0"/>
      <w:marBottom w:val="0"/>
      <w:divBdr>
        <w:top w:val="none" w:sz="0" w:space="0" w:color="auto"/>
        <w:left w:val="none" w:sz="0" w:space="0" w:color="auto"/>
        <w:bottom w:val="none" w:sz="0" w:space="0" w:color="auto"/>
        <w:right w:val="none" w:sz="0" w:space="0" w:color="auto"/>
      </w:divBdr>
    </w:div>
    <w:div w:id="1558324219">
      <w:bodyDiv w:val="1"/>
      <w:marLeft w:val="0"/>
      <w:marRight w:val="0"/>
      <w:marTop w:val="0"/>
      <w:marBottom w:val="0"/>
      <w:divBdr>
        <w:top w:val="none" w:sz="0" w:space="0" w:color="auto"/>
        <w:left w:val="none" w:sz="0" w:space="0" w:color="auto"/>
        <w:bottom w:val="none" w:sz="0" w:space="0" w:color="auto"/>
        <w:right w:val="none" w:sz="0" w:space="0" w:color="auto"/>
      </w:divBdr>
    </w:div>
    <w:div w:id="1616129982">
      <w:bodyDiv w:val="1"/>
      <w:marLeft w:val="0"/>
      <w:marRight w:val="0"/>
      <w:marTop w:val="0"/>
      <w:marBottom w:val="0"/>
      <w:divBdr>
        <w:top w:val="none" w:sz="0" w:space="0" w:color="auto"/>
        <w:left w:val="none" w:sz="0" w:space="0" w:color="auto"/>
        <w:bottom w:val="none" w:sz="0" w:space="0" w:color="auto"/>
        <w:right w:val="none" w:sz="0" w:space="0" w:color="auto"/>
      </w:divBdr>
    </w:div>
    <w:div w:id="1816294229">
      <w:bodyDiv w:val="1"/>
      <w:marLeft w:val="0"/>
      <w:marRight w:val="0"/>
      <w:marTop w:val="0"/>
      <w:marBottom w:val="0"/>
      <w:divBdr>
        <w:top w:val="none" w:sz="0" w:space="0" w:color="auto"/>
        <w:left w:val="none" w:sz="0" w:space="0" w:color="auto"/>
        <w:bottom w:val="none" w:sz="0" w:space="0" w:color="auto"/>
        <w:right w:val="none" w:sz="0" w:space="0" w:color="auto"/>
      </w:divBdr>
    </w:div>
    <w:div w:id="1848250027">
      <w:bodyDiv w:val="1"/>
      <w:marLeft w:val="0"/>
      <w:marRight w:val="0"/>
      <w:marTop w:val="0"/>
      <w:marBottom w:val="0"/>
      <w:divBdr>
        <w:top w:val="none" w:sz="0" w:space="0" w:color="auto"/>
        <w:left w:val="none" w:sz="0" w:space="0" w:color="auto"/>
        <w:bottom w:val="none" w:sz="0" w:space="0" w:color="auto"/>
        <w:right w:val="none" w:sz="0" w:space="0" w:color="auto"/>
      </w:divBdr>
      <w:divsChild>
        <w:div w:id="715160868">
          <w:marLeft w:val="1440"/>
          <w:marRight w:val="0"/>
          <w:marTop w:val="0"/>
          <w:marBottom w:val="0"/>
          <w:divBdr>
            <w:top w:val="none" w:sz="0" w:space="0" w:color="auto"/>
            <w:left w:val="none" w:sz="0" w:space="0" w:color="auto"/>
            <w:bottom w:val="none" w:sz="0" w:space="0" w:color="auto"/>
            <w:right w:val="none" w:sz="0" w:space="0" w:color="auto"/>
          </w:divBdr>
        </w:div>
      </w:divsChild>
    </w:div>
    <w:div w:id="1895853716">
      <w:bodyDiv w:val="1"/>
      <w:marLeft w:val="0"/>
      <w:marRight w:val="0"/>
      <w:marTop w:val="0"/>
      <w:marBottom w:val="0"/>
      <w:divBdr>
        <w:top w:val="none" w:sz="0" w:space="0" w:color="auto"/>
        <w:left w:val="none" w:sz="0" w:space="0" w:color="auto"/>
        <w:bottom w:val="none" w:sz="0" w:space="0" w:color="auto"/>
        <w:right w:val="none" w:sz="0" w:space="0" w:color="auto"/>
      </w:divBdr>
    </w:div>
    <w:div w:id="2119595792">
      <w:bodyDiv w:val="1"/>
      <w:marLeft w:val="0"/>
      <w:marRight w:val="0"/>
      <w:marTop w:val="0"/>
      <w:marBottom w:val="0"/>
      <w:divBdr>
        <w:top w:val="none" w:sz="0" w:space="0" w:color="auto"/>
        <w:left w:val="none" w:sz="0" w:space="0" w:color="auto"/>
        <w:bottom w:val="none" w:sz="0" w:space="0" w:color="auto"/>
        <w:right w:val="none" w:sz="0" w:space="0" w:color="auto"/>
      </w:divBdr>
      <w:divsChild>
        <w:div w:id="103199560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55C48-2E90-4B0A-B4F2-5A878CCD0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8</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xx</dc:creator>
  <cp:keywords/>
  <dc:description/>
  <cp:lastModifiedBy>c xx</cp:lastModifiedBy>
  <cp:revision>21</cp:revision>
  <cp:lastPrinted>2020-04-05T23:23:00Z</cp:lastPrinted>
  <dcterms:created xsi:type="dcterms:W3CDTF">2020-04-05T16:28:00Z</dcterms:created>
  <dcterms:modified xsi:type="dcterms:W3CDTF">2020-04-05T23:24:00Z</dcterms:modified>
</cp:coreProperties>
</file>