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TokenScope 第一版设计文档</w:t>
      </w:r>
    </w:p>
    <w:p>
      <w:pPr>
        <w:pStyle w:val="Subtitle"/>
      </w:pPr>
      <w:r>
        <w:t>词元洞察  面向企业 MaaS 的 Token 运营与自进化诊断</w:t>
      </w:r>
    </w:p>
    <w:p>
      <w:r>
        <w:rPr>
          <w:color w:val="58636D"/>
          <w:sz w:val="18"/>
        </w:rPr>
        <w:t>版本 V0.1 讨论稿    日期 2026年10月22日    面向 MaaS 运营 推理研发 与业务接入同事</w:t>
      </w:r>
    </w:p>
    <w:p>
      <w:r>
        <w:t>我们计划在 PrefixLens 的前缀缓存分析能力上建设 TokenScope：按租户 appid 和模型周期性分析 Token 使用、上下文组成与任务调用行为，定位造成额外计算和 SLO 退化的原因，并将未知问题的诊断经验沉淀为可复用探测器。</w:t>
      </w:r>
    </w:p>
    <w:p>
      <w:r>
        <w:t>第一版交付形态是内部 Web 工作台、异步分析服务、探测器库和按需唤醒的诊断 Agent。常规分析由确定性代码完成；Agent 只处理解释不足的显著异常，并生成经过验证的候选规则。</w:t>
      </w:r>
    </w:p>
    <w:p>
      <w:pPr>
        <w:pStyle w:val="Heading2"/>
      </w:pPr>
      <w:r>
        <w:t>1 业务背景与建设目标</w:t>
      </w:r>
    </w:p>
    <w:p>
      <w:r>
        <w:t>我们的 MaaS 面向 To B 企业。租户选择模型，平台提供约定并发，并按模型与请求长度承诺 P90 TTFT 和 P90 TPOT，不限制 Token 总量。TTFT 是首 Token 等待时间，TPOT 是生成阶段平均每 Token 耗时；两者的统计定义以服务合同为准。</w:t>
      </w:r>
    </w:p>
    <w:p>
      <w:r>
        <w:t>因此，同样的并发承诺下，冗余上下文、无效调用和缓存复用下降都会增加资源压力。TokenScope 的运营目标是在业务效果和 SLO 约束下，降低服务资源消耗，并缩短问题发现、定位及复核所需的人力时间。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4536"/>
        <w:gridCol w:w="3946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213A51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价值方向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213A51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如何产生价值</w:t>
            </w:r>
          </w:p>
        </w:tc>
        <w:tc>
          <w:tcPr>
            <w:tcW w:type="dxa" w:w="394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213A51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如何衡量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资源成本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识别重复 Prefill、上下文膨胀及无进展调用，协助业务或平台优化。</w:t>
            </w:r>
          </w:p>
        </w:tc>
        <w:tc>
          <w:tcPr>
            <w:tcW w:type="dxa" w:w="394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同类负载下的卡时、SLO 达标吞吐、可避免计算量。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排障人力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自动发现异常、聚合典型样本、定位字段或调用步骤，减少逐条读日志。</w:t>
            </w:r>
          </w:p>
        </w:tc>
        <w:tc>
          <w:tcPr>
            <w:tcW w:type="dxa" w:w="394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单事件人工分钟数、定位周期、重复问题自动归因率。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经验复用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将一次调查形成的规则用于后续窗口及其他适用业务。</w:t>
            </w:r>
          </w:p>
        </w:tc>
        <w:tc>
          <w:tcPr>
            <w:tcW w:type="dxa" w:w="394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跨业务有效复用次数、误报率、未知异常占比。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rPr>
          <w:b/>
        </w:rPr>
        <w:t>本版范围：</w:t>
      </w:r>
      <w:r>
        <w:t>先覆盖前缀复用、任务调用膨胀和上下文增长三类问题，贯通“异常发现—证据归因—建议—效果复核”。实时阻断、自动修改业务 Prompt 和平台计费系统不纳入第一版。</w:t>
      </w:r>
    </w:p>
    <w:p>
      <w:pPr>
        <w:pStyle w:val="Caption"/>
      </w:pPr>
      <w:r>
        <w:t>文档用途：统一产品理解、讨论一期范围与试点资源。计划与验收门槛为建议值，不构成已完成能力或排期承诺。</w:t>
      </w:r>
    </w:p>
    <w:p>
      <w:pPr>
        <w:pStyle w:val="Heading1"/>
        <w:pageBreakBefore/>
      </w:pPr>
      <w:r>
        <w:t>2 产品形态与使用流程</w:t>
      </w:r>
    </w:p>
    <w:p>
      <w:r>
        <w:t>TokenScope 面向 MaaS 运营、推理引擎研发和业务 Agent 开发者提供同一个分析入口。运营同事先发现受影响业务，研发同事下钻到请求和运行时证据，业务同事据此调整 Prompt、工具返回或调用逻辑。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345936" cy="634594"/>
            <wp:docPr id="1" name="Picture 1" descr="product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5936" cy="63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拟议的工作台操作路径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55"/>
        <w:gridCol w:w="5544"/>
        <w:gridCol w:w="2894"/>
      </w:tblGrid>
      <w:tr>
        <w:trPr>
          <w:cantSplit/>
          <w:tblHeader/>
        </w:trPr>
        <w:tc>
          <w:tcPr>
            <w:tcW w:type="dxa" w:w="1555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213A51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554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213A51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主要内容</w:t>
            </w:r>
          </w:p>
        </w:tc>
        <w:tc>
          <w:tcPr>
            <w:tcW w:type="dxa" w:w="289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213A51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用户采取的行动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业务总览</w:t>
            </w:r>
          </w:p>
        </w:tc>
        <w:tc>
          <w:tcPr>
            <w:tcW w:type="dxa" w:w="554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按 appid、模型、时间窗口展示请求量、长度分布、理想与实际命中率、实际新计算输入量和 SLO。</w:t>
            </w:r>
          </w:p>
        </w:tc>
        <w:tc>
          <w:tcPr>
            <w:tcW w:type="dxa" w:w="289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选择异常窗口，按资源与 SLO 影响排序。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任务与会话</w:t>
            </w:r>
          </w:p>
        </w:tc>
        <w:tc>
          <w:tcPr>
            <w:tcW w:type="dxa" w:w="554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调用树或时间线、累计 Token、调用次数、重试、上下文增长和任务状态。</w:t>
            </w:r>
          </w:p>
        </w:tc>
        <w:tc>
          <w:tcPr>
            <w:tcW w:type="dxa" w:w="289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找出贡献最大的任务与异常阶段。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请求详情</w:t>
            </w:r>
          </w:p>
        </w:tc>
        <w:tc>
          <w:tcPr>
            <w:tcW w:type="dxa" w:w="554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原始请求/响应、渲染后输入、Token 区间、缓存断点、工具定义及结果占比。</w:t>
            </w:r>
          </w:p>
        </w:tc>
        <w:tc>
          <w:tcPr>
            <w:tcW w:type="dxa" w:w="289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核对具体字段、调用步骤和正常对照。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异常详情</w:t>
            </w:r>
          </w:p>
        </w:tc>
        <w:tc>
          <w:tcPr>
            <w:tcW w:type="dxa" w:w="554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原因、证据、影响范围、置信度、建议、未解释部分和前后对比。</w:t>
            </w:r>
          </w:p>
        </w:tc>
        <w:tc>
          <w:tcPr>
            <w:tcW w:type="dxa" w:w="289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形成可执行改进项，登记业务反馈。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探测器与调查</w:t>
            </w:r>
          </w:p>
        </w:tc>
        <w:tc>
          <w:tcPr>
            <w:tcW w:type="dxa" w:w="554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已有规则版本、适用范围、回放结果、Agent 调查进度及候选规则。</w:t>
            </w:r>
          </w:p>
        </w:tc>
        <w:tc>
          <w:tcPr>
            <w:tcW w:type="dxa" w:w="289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查看规则是否可推广，复核误报与运行成本。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一个典型使用场景</w:t>
      </w:r>
    </w:p>
    <w:p>
      <w:r>
        <w:t>某 Agent 业务的输入长度 P90 明显增加，缓存命中率仍然较高。系统将增长定位到少数任务，并指出某工具的大段返回内容在多轮请求中重复携带。业务同事核对样本、正常对照和调用链后，调整工具返回或上下文保留方式，再比较长度、TPOT 与任务完成情况。此场景为产品流程示例，尚非已验证结果。</w:t>
      </w:r>
    </w:p>
    <w:p>
      <w:pPr>
        <w:pStyle w:val="Heading2"/>
      </w:pPr>
      <w:r>
        <w:t>每条结论需要可追溯的证据</w:t>
      </w:r>
    </w:p>
    <w:p>
      <w:r>
        <w:t>字段差异可以解释缓存断点，修改后的收益仍需重新计算；重复动作可以触发疑似循环，确认无效行为还需要任务进展证据。报告区分观测变化、原因证据和验证结果，无法确认时保留“待验证”。</w:t>
      </w:r>
    </w:p>
    <w:p>
      <w:pPr>
        <w:pStyle w:val="Heading1"/>
        <w:pageBreakBefore/>
      </w:pPr>
      <w:r>
        <w:t>3 PrefixLens 已有成果与继承方式</w:t>
      </w:r>
    </w:p>
    <w:p>
      <w:r>
        <w:t>PrefixLens 已提供理想命中率计算、低命中原因探测和前端展示，是 TokenScope 的直接基础。完整代码位于华为实验机，本机保存基础版。第一阶段将以实验机版本和回归样本为迁移依据。</w:t>
      </w:r>
    </w:p>
    <w:p>
      <w:pPr>
        <w:pStyle w:val="Heading2"/>
      </w:pPr>
      <w:r>
        <w:t>已有能力</w:t>
      </w:r>
    </w:p>
    <w:p>
      <w:r>
        <w:t>Prompt 诊断链路覆盖请求解析、Chat Template 渲染、Tokenizer 编码、Block 切分、前缀匹配、理想命中率、首个 Miss Block 定位，以及典型请求和修改建议。现有材料还描述了模型级与租户级报告、LCP 分布、Reuse Time、CLI 和交互前端。[P1][P2]</w:t>
      </w:r>
    </w:p>
    <w:p>
      <w:r>
        <w:t>案例报告同时描述了流量回放、目标 TTFT 对应的最低命中需求，以及 MTP、CP 和 Hybrid Attention 适配。它们作为待迁移资产纳入盘点；具体支持范围需要和实验机的代码版本、配置及测试逐项对应。[P2]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37"/>
        <w:gridCol w:w="3816"/>
        <w:gridCol w:w="5141"/>
      </w:tblGrid>
      <w:tr>
        <w:trPr>
          <w:cantSplit/>
          <w:tblHeader/>
        </w:trPr>
        <w:tc>
          <w:tcPr>
            <w:tcW w:type="dxa" w:w="103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213A51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业务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213A51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根因</w:t>
            </w:r>
          </w:p>
        </w:tc>
        <w:tc>
          <w:tcPr>
            <w:tcW w:type="dxa" w:w="514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213A51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已有材料中的改善结果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ICSL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随机 cch 字段位于公共 Prompt 前部，破坏后续前缀复用。</w:t>
            </w:r>
          </w:p>
        </w:tc>
        <w:tc>
          <w:tcPr>
            <w:tcW w:type="dxa" w:w="514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理想命中率 36.5% → 90.2%；</w:t>
              <w:br/>
              <w:t>实际命中率 1.5% → 70%以上；</w:t>
              <w:br/>
              <w:t>P90 TTFT 降低 35 秒以上。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财经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动态时间戳位于公共 Prompt 前部。</w:t>
            </w:r>
          </w:p>
        </w:tc>
        <w:tc>
          <w:tcPr>
            <w:tcW w:type="dxa" w:w="514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理想命中率约 27% → 80%以上；</w:t>
              <w:br/>
              <w:t>实际命中率约 20% → 60%以上；</w:t>
              <w:br/>
              <w:t>P90 TTFT 降低至少 10 秒。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诊断协作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由人工长 Prompt 比对转为字段、样本和建议驱动。</w:t>
            </w:r>
          </w:p>
        </w:tc>
        <w:tc>
          <w:tcPr>
            <w:tcW w:type="dxa" w:w="514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材料记录定位周期由一周以上缩短至半天；两项业务在一周内完成 Prompt 修改。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Caption"/>
      </w:pPr>
      <w:r>
        <w:t>表 1 结果引用 PrefixLens-PPT 现有案例材料。财经采用 outline.md 的保守口径；HTML 中另有更高数值。正式收益核算须统一时间窗口、流量范围和部署配置。上述结果不等同于 TokenScope 已实现的收益。</w:t>
      </w:r>
    </w:p>
    <w:p>
      <w:pPr>
        <w:pStyle w:val="Heading2"/>
      </w:pPr>
      <w:r>
        <w:t>第一版如何复用</w:t>
      </w:r>
    </w:p>
    <w:p>
      <w:pPr>
        <w:pStyle w:val="ListBullet"/>
        <w:spacing w:after="100"/>
      </w:pPr>
      <w:r>
        <w:t>保留 PrefixLens 作为缓存诊断子引擎，将输入、输出和模型配置封装为稳定接口，先建立迁移前后结果一致的回归集。</w:t>
      </w:r>
    </w:p>
    <w:p>
      <w:pPr>
        <w:pStyle w:val="ListBullet"/>
        <w:spacing w:after="100"/>
      </w:pPr>
      <w:r>
        <w:t>优先接入完整版本已有的断点证据、原因分类和前端下钻能力；根据性能剖析逐步迁移热点，不以全量重写作为一期前提。</w:t>
      </w:r>
    </w:p>
    <w:p>
      <w:pPr>
        <w:pStyle w:val="ListBullet"/>
        <w:spacing w:after="100"/>
      </w:pPr>
      <w:r>
        <w:t>新增任务索引、窗口基线、上下文组成分析、Loop 探测与休眠 Agent，让一次性离线分析变成周期性的运营流程。</w:t>
      </w:r>
    </w:p>
    <w:p>
      <w:pPr>
        <w:pStyle w:val="Heading1"/>
        <w:pageBreakBefore/>
      </w:pPr>
      <w:r>
        <w:t>4 指标口径与异常判断</w:t>
      </w:r>
    </w:p>
    <w:p>
      <w:r>
        <w:t>统一使用三个分析单位：请求用于精确计量与断点分析，任务用于观察调用过程，appid 与模型的时间窗口用于运营监控。所有指标携带模型与模板版本、采集覆盖率、统计窗口和分析配置。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7762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213A51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776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213A51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一期定义与用途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完整输入与组成</w:t>
            </w:r>
          </w:p>
        </w:tc>
        <w:tc>
          <w:tcPr>
            <w:tcW w:type="dxa" w:w="776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以实际服务端渲染输入为准，统计长度分布，以及 system、tools、history、tool result 等组成。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理想命中率</w:t>
            </w:r>
          </w:p>
        </w:tc>
        <w:tc>
          <w:tcPr>
            <w:tcW w:type="dxa" w:w="776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在明确的缓存域、窗口初始状态和 Block 规则下，统计理论可复用 Token 占比；保留 PrefixLens 原始 Block 指标供核对。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实际缓存与新计算输入</w:t>
            </w:r>
          </w:p>
        </w:tc>
        <w:tc>
          <w:tcPr>
            <w:tcW w:type="dxa" w:w="776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区分本地缓存、外部 KV 和新计算 Prefill；有引擎计量时优先使用，只有 usage 时标注推算口径。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输出与累计任务量</w:t>
            </w:r>
          </w:p>
        </w:tc>
        <w:tc>
          <w:tcPr>
            <w:tcW w:type="dxa" w:w="776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分别记录输入、输出及可得的 reasoning 量；按任务累计调用次数、重试次数和 Token，保留未结束任务。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任务进展信号</w:t>
            </w:r>
          </w:p>
        </w:tc>
        <w:tc>
          <w:tcPr>
            <w:tcW w:type="dxa" w:w="776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相同调用签名、重复错误、工具结果变化、上下文新增量和任务完成状态；用于识别疑似无进展行为。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服务质量与资源</w:t>
            </w:r>
          </w:p>
        </w:tc>
        <w:tc>
          <w:tcPr>
            <w:tcW w:type="dxa" w:w="7762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按合同模型和长度档位统计 P90 TTFT、P90 TPOT、SLO 违约情况，并关联并发、排队、实例和资源记录。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未命中 Token 不等于无效 Token。简化条件下，实际新计算输入量可由完整输入量减去实际复用量得到；抢占重算、投机解码、KV 传输和 Decode 成本仍需分别观察。Token 数不能直接换算为统一的算力成本。[R2]</w:t>
      </w:r>
    </w:p>
    <w:p>
      <w:pPr>
        <w:pStyle w:val="Heading2"/>
      </w:pPr>
      <w:r>
        <w:t>建立可比较的基线</w:t>
      </w:r>
    </w:p>
    <w:p>
      <w:r>
        <w:t>默认按 appid、模型 revision 和业务场景建立基线，必要时区分 Agent、Prompt 与工具集版本，并控制工作日和时段差异。低样本分组回退到较粗粒度。发布变更和已确认异常窗口单独标记，避免把故障学习成新的正常水平。</w:t>
      </w:r>
    </w:p>
    <w:p>
      <w:r>
        <w:t>告警同时考虑偏离幅度、持续时间、最小样本量和影响规模。长度分布采用分位数与分布距离，累计消耗同时拆解任务数、每任务调用数及每次调用长度。所有候选阈值通过历史正常窗口和已知异常回放校准。[R5][R7]</w:t>
      </w:r>
    </w:p>
    <w:p>
      <w:r>
        <w:t>短输入意图识别的低命中率可能合理；高命中率也可能伴随历史膨胀。第一版既检测相对退化，也定期运行低成本结构规则识别长期低效。跨实例或窗口聚合使用原始计数和直方图，不直接平均命中率或 P90。</w:t>
      </w:r>
    </w:p>
    <w:p>
      <w:pPr>
        <w:pStyle w:val="Heading1"/>
        <w:pageBreakBefore/>
      </w:pPr>
      <w:r>
        <w:t>5 第一版归因能力</w:t>
      </w:r>
    </w:p>
    <w:p>
      <w:pPr>
        <w:pStyle w:val="Heading2"/>
      </w:pPr>
      <w:r>
        <w:t>前缀复用下降</w:t>
      </w:r>
    </w:p>
    <w:p>
      <w:r>
        <w:t>理想命中率下降时，调用 PrefixLens 检查首个断点、动态字段、工具顺序、工具 Schema 和消息变化，展示请求对照与位置映射。理想值稳定而实际命中下降时，转向实例路由、缓存驻留、淘汰和运行时配置证据；一期给出相关线索，复杂运行时因果分析按数据完整性逐步扩展。</w:t>
      </w:r>
    </w:p>
    <w:p>
      <w:pPr>
        <w:pStyle w:val="Heading2"/>
      </w:pPr>
      <w:r>
        <w:t>任务调用膨胀与疑似循环</w:t>
      </w:r>
    </w:p>
    <w:p>
      <w:r>
        <w:t>对任务内按时间排序的调用序列生成行为特征，优先覆盖重复调用且结果不变、重复错误重试、A 与 B 之间往返、相同内容重复读取，以及多轮调用缺少新增观察等情况。归一化签名只用于检测，缓存命中计算始终使用真实输入。</w:t>
      </w:r>
    </w:p>
    <w:p>
      <w:r>
        <w:t>循环结论分级表达：可观测的重复行为、疑似无进展、经工具状态或任务结果确认的无效过程。代码修改后的重复测试等正常行为应作为反例。统计总消耗时包括失败尝试，避免只看成功任务掩盖浪费。</w:t>
      </w:r>
    </w:p>
    <w:p>
      <w:pPr>
        <w:pStyle w:val="Heading2"/>
      </w:pPr>
      <w:r>
        <w:t>上下文增长与工具贡献</w:t>
      </w:r>
    </w:p>
    <w:p>
      <w:r>
        <w:t>对完整渲染输入建立字段来源映射，定位工具定义、工具结果、RAG 内容和历史消息的增长贡献。首批规则包括工具定义膨胀、大结果重复携带、历史重复拼接和异常序列化。将增长事件关联到工具、Agent 版本及后续 TPOT 变化。</w:t>
      </w:r>
    </w:p>
    <w:p>
      <w:r>
        <w:t>字段长度不能简单由各字段独立编码后相加。BPE 边界、模板控制 Token 和模型渲染方式可能影响结果；一期需保存来源映射和无法精确分配的边界部分，并核对组成与完整输入总量。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7978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213A51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统一归因输出</w:t>
            </w:r>
          </w:p>
        </w:tc>
        <w:tc>
          <w:tcPr>
            <w:tcW w:type="dxa" w:w="797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213A51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要求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原因与适用性</w:t>
            </w:r>
          </w:p>
        </w:tc>
        <w:tc>
          <w:tcPr>
            <w:tcW w:type="dxa" w:w="797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reason_code、探测器版本、模型与业务适用条件、置信度。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证据与位置</w:t>
            </w:r>
          </w:p>
        </w:tc>
        <w:tc>
          <w:tcPr>
            <w:tcW w:type="dxa" w:w="797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request_id / task_id、正常对照、字段或 Token 区间、调用步骤及差异。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影响范围</w:t>
            </w:r>
          </w:p>
        </w:tc>
        <w:tc>
          <w:tcPr>
            <w:tcW w:type="dxa" w:w="797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受影响任务与请求、相关 Token 量、未解释部分，避免跨原因重复累计。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改进与验证</w:t>
            </w:r>
          </w:p>
        </w:tc>
        <w:tc>
          <w:tcPr>
            <w:tcW w:type="dxa" w:w="797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建议动作、语义风险、可计算的反事实结果、待线上验证的资源和 SLO 效果。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通用能力与业务规则分离：相同规则可以复用于不同 appid，业务特有的参数、允许重试次数和工具语义通过配置提供。</w:t>
      </w:r>
    </w:p>
    <w:p>
      <w:pPr>
        <w:pStyle w:val="Heading1"/>
        <w:pageBreakBefore/>
      </w:pPr>
      <w:r>
        <w:t>6 数据架构与高性能实现</w:t>
      </w:r>
    </w:p>
    <w:p>
      <w:r>
        <w:t>已确认可获取完整请求/响应、usage、缓存命中、耗时，以及 session、task、trace 标识。第一步是验证这些字段的关联质量与含义，并补齐模型、模板和部署配置指纹。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345936" cy="1692250"/>
            <wp:docPr id="2" name="Picture 2" descr="system 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5936" cy="169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 第一版系统组成示意  所有异步任务保留输入版本与分析配置以支持复跑</w:t>
      </w:r>
    </w:p>
    <w:p>
      <w:pPr>
        <w:pStyle w:val="Heading2"/>
      </w:pPr>
      <w:r>
        <w:t>数据接入和异步处理</w:t>
      </w:r>
    </w:p>
    <w:p>
      <w:r>
        <w:t>请求事件及时落盘，分析服务默认每 2 小时增量运行一次，周期可配置。按 appid 和模型分区调度，通过水位、request_id 去重和幂等写入处理补传与重跑。跨窗口任务延续累计，迟到数据触发受影响窗口修订。</w:t>
      </w:r>
    </w:p>
    <w:p>
      <w:r>
        <w:t>保存原始事件、模型配置、编码结果、任务与窗口特征、异常证据及探测器版本。仅保留指标无法支持新原因调查，需在租户访问权限内保留可回溯样本，并按平台要求设置保留期限。</w:t>
      </w:r>
    </w:p>
    <w:p>
      <w:pPr>
        <w:pStyle w:val="Heading2"/>
      </w:pPr>
      <w:r>
        <w:t>缓存域与窗口的一致性</w:t>
      </w:r>
    </w:p>
    <w:p>
      <w:r>
        <w:t>按 appid 隔离的理想上限与允许跨租户共享的缓存域分别统计。冷启动窗口分析、带历史预热的分析明确标注，不混为同一基线。编码可并行，涉及历史参考和任务顺序的归因必须保留时序；随机抽样不能破坏命中历史和调用链。</w:t>
      </w:r>
    </w:p>
    <w:p>
      <w:pPr>
        <w:pStyle w:val="Heading2"/>
      </w:pPr>
      <w:r>
        <w:t>性能路径与模型适配</w:t>
      </w:r>
    </w:p>
    <w:p>
      <w:r>
        <w:t>Rust 优先承载解析、编码、Hash/Trie 和批量统计热点。复用服务端已有 Token ID 或精确编码缓存，一次编码供多个探测器使用；采用有界任务队列和线程预算，避免外层并发与 Tokenizer 内部并行相互争抢。批量聚合可借鉴 Polars。[R6]</w:t>
      </w:r>
    </w:p>
    <w:p>
      <w:r>
        <w:t>DeepSeek 适配优先研究 deepseek-recipe 的特殊 Token 区间与批量编码实现。其分段边界来自渲染规则，不能任意切文本，也不能直接假定适用于 GLM 或 Qwen。[R1]</w:t>
      </w:r>
    </w:p>
    <w:p>
      <w:r>
        <w:t>目标模型为 DeepSeek V4 系列、GLM 5.2/5.3、Qwen 3.6/3.8，支持状态以部署版本和一致性测试为准。适配固定 Tokenizer、Chat Template、thinking/tool 模式、Block 与并行配置。</w:t>
      </w:r>
    </w:p>
    <w:p>
      <w:pPr>
        <w:pStyle w:val="Heading1"/>
        <w:pageBreakBefore/>
      </w:pPr>
      <w:r>
        <w:t>7 休眠 Agent 与探测器自进化</w:t>
      </w:r>
    </w:p>
    <w:p>
      <w:r>
        <w:t>Agent 的职责是调查显著但解释不足的异常，并把有效调查沉淀为确定性探测器。常规窗口继续运行已有规则，避免对全部请求重复进行大模型分析。选择性介入可借鉴 SupervisorAgent，但离线规则生成和验证需由 TokenScope 自行建设。[R4]</w:t>
      </w:r>
    </w:p>
    <w:p>
      <w:pPr>
        <w:pStyle w:val="Heading2"/>
      </w:pPr>
      <w:r>
        <w:t>唤醒与调查</w:t>
      </w:r>
    </w:p>
    <w:p>
      <w:r>
        <w:t>仅在数据质量合格、异常影响达到门槛，并且已有探测器覆盖不足、置信度低或结论冲突时唤醒。相似事件先聚类去重，共享调查结果；同一异常设置冷却时间与单次分析预算。数据缺失和配置错配优先交给数据质量检查处理。</w:t>
      </w:r>
    </w:p>
    <w:p>
      <w:r>
        <w:t>Agent 获得异常窗口、正常对照、代表性任务、字段映射和已有规则结果，在只读样本范围内提出假设、编写启发式分析代码并生成证据。候选代码隔离运行，限制执行时间、内存和外部访问。无法确认的结论保留未解释状态。</w:t>
      </w:r>
    </w:p>
    <w:p>
      <w:pPr>
        <w:pStyle w:val="Heading2"/>
      </w:pPr>
      <w:r>
        <w:t>候选规则如何进入共享库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3960"/>
        <w:gridCol w:w="4450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213A51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213A51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产出</w:t>
            </w:r>
          </w:p>
        </w:tc>
        <w:tc>
          <w:tcPr>
            <w:tcW w:type="dxa" w:w="445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213A51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进入下一阶段的条件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形成候选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原因定义、特征、检测代码、适用条件和运行成本。</w:t>
            </w:r>
          </w:p>
        </w:tc>
        <w:tc>
          <w:tcPr>
            <w:tcW w:type="dxa" w:w="445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可以在原始异常样本上复现，并提供具体证据。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验证正确性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历史回放、正例、反例及独立留出样本。</w:t>
            </w:r>
          </w:p>
        </w:tc>
        <w:tc>
          <w:tcPr>
            <w:tcW w:type="dxa" w:w="445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核对误报、漏报与归因一致性；不能仅验证触发它的事件。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验证可迁移性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其他业务的适用样本和正常样本测试。</w:t>
            </w:r>
          </w:p>
        </w:tc>
        <w:tc>
          <w:tcPr>
            <w:tcW w:type="dxa" w:w="445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通用逻辑与业务参数分离，确认适用边界。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试运行与发布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影子运行记录、规则版本和回滚记录。</w:t>
            </w:r>
          </w:p>
        </w:tc>
        <w:tc>
          <w:tcPr>
            <w:tcW w:type="dxa" w:w="445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第一版经规则维护者复核后启用；观察反馈并可撤回。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t>跨业务推广复用规则和适用配置；原始租户内容保持在各自权限域内。第一版 Agent 可以自动分析和生成候选探测器，生产规则启用保留复核环节，业务 Prompt、Agent 代码和线上流量策略由原责任团队调整。</w:t>
      </w:r>
    </w:p>
    <w:p>
      <w:r>
        <w:t>每个事件记录采样、定位、沟通、规则复核和验证的人力时间。自进化的价值体现为同类问题自动归因，以及 A 业务的规则在 B 业务有效复用；净收益需扣除复核、误报处理与维护投入，并同时观察未知原因占比和误报率。</w:t>
      </w:r>
    </w:p>
    <w:p>
      <w:pPr>
        <w:pStyle w:val="Heading1"/>
        <w:pageBreakBefore/>
      </w:pPr>
      <w:r>
        <w:t>8 第一版范围与实现计划</w:t>
      </w:r>
    </w:p>
    <w:p>
      <w:r>
        <w:t>第一版完成三类诊断主线、内部工作台和受控的探测器自进化闭环。先选择 Agent 编程、短输入意图识别、长上下文或 RAG 三类代表业务；模型接入按试点实际流量排序，后续使用同一适配验收流程扩展。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54"/>
        <w:gridCol w:w="1267"/>
        <w:gridCol w:w="4205"/>
        <w:gridCol w:w="3168"/>
      </w:tblGrid>
      <w:tr>
        <w:trPr>
          <w:cantSplit/>
          <w:tblHeader/>
        </w:trPr>
        <w:tc>
          <w:tcPr>
            <w:tcW w:type="dxa" w:w="135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213A51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26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213A51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建议时间</w:t>
            </w:r>
          </w:p>
        </w:tc>
        <w:tc>
          <w:tcPr>
            <w:tcW w:type="dxa" w:w="4205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213A51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主要交付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213A51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阶段验收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P0 基础对齐</w:t>
            </w:r>
          </w:p>
        </w:tc>
        <w:tc>
          <w:tcPr>
            <w:tcW w:type="dxa" w:w="126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第 1 周</w:t>
            </w:r>
          </w:p>
        </w:tc>
        <w:tc>
          <w:tcPr>
            <w:tcW w:type="dxa" w:w="4205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盘点实验机 PrefixLens；确认字段、SLO、模型配置与案例；形成回归样本。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可复现既有案例，明确指标和支持边界。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P1 数据与总览</w:t>
            </w:r>
          </w:p>
        </w:tc>
        <w:tc>
          <w:tcPr>
            <w:tcW w:type="dxa" w:w="126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第 2 至 3 周</w:t>
            </w:r>
          </w:p>
        </w:tc>
        <w:tc>
          <w:tcPr>
            <w:tcW w:type="dxa" w:w="4205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增量采集、任务索引、模型适配、窗口特征和业务总览。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可追溯至请求；批次可重跑；核心计量对账通过。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P2 三类诊断</w:t>
            </w:r>
          </w:p>
        </w:tc>
        <w:tc>
          <w:tcPr>
            <w:tcW w:type="dxa" w:w="126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第 4 至 5 周</w:t>
            </w:r>
          </w:p>
        </w:tc>
        <w:tc>
          <w:tcPr>
            <w:tcW w:type="dxa" w:w="4205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接入 PrefixLens；实现上下文组成和首批 Loop 规则；完成异常下钻。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三类业务各有正例和正常反例，输出可解释证据。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P3 自进化试运行</w:t>
            </w:r>
          </w:p>
        </w:tc>
        <w:tc>
          <w:tcPr>
            <w:tcW w:type="dxa" w:w="126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第 6 至 7 周</w:t>
            </w:r>
          </w:p>
        </w:tc>
        <w:tc>
          <w:tcPr>
            <w:tcW w:type="dxa" w:w="4205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异常聚类、Agent 按需唤醒、候选生成、隔离回放及规则版本管理。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至少完成一次未知问题到可复用规则的演练。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P4 试点与交付</w:t>
            </w:r>
          </w:p>
        </w:tc>
        <w:tc>
          <w:tcPr>
            <w:tcW w:type="dxa" w:w="126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第 8 周</w:t>
            </w:r>
          </w:p>
        </w:tc>
        <w:tc>
          <w:tcPr>
            <w:tcW w:type="dxa" w:w="4205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性能优化、连续批次运行、业务反馈、收益对照和使用文档。</w:t>
            </w:r>
          </w:p>
        </w:tc>
        <w:tc>
          <w:tcPr>
            <w:tcW w:type="dxa" w:w="316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按下页门槛评审，形成下一阶段推广清单。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Caption"/>
      </w:pPr>
      <w:r>
        <w:t>表 2 以上为约 8 周的初步估算，假设 2 名研发持续投入，并有推理/数据接口和试点业务同事配合。实验机资产盘点、数据规模和资源落实后重新评估。</w:t>
      </w:r>
    </w:p>
    <w:p>
      <w:pPr>
        <w:pStyle w:val="Heading2"/>
      </w:pPr>
      <w:r>
        <w:t>建议的协作分工</w:t>
      </w:r>
    </w:p>
    <w:p>
      <w:pPr>
        <w:pStyle w:val="ListBullet"/>
        <w:spacing w:after="100"/>
      </w:pPr>
      <w:r>
        <w:t>MaaS 运营：确定试点业务、异常优先级、SLO 档位和收益评价方式。</w:t>
      </w:r>
    </w:p>
    <w:p>
      <w:pPr>
        <w:pStyle w:val="ListBullet"/>
        <w:spacing w:after="100"/>
      </w:pPr>
      <w:r>
        <w:t>平台与推理研发：对齐请求级计量、模型配置、运行时指标和服务端结果。</w:t>
      </w:r>
    </w:p>
    <w:p>
      <w:pPr>
        <w:pStyle w:val="ListBullet"/>
        <w:spacing w:after="100"/>
      </w:pPr>
      <w:r>
        <w:t>TokenScope 研发：交付采集分析、归因引擎、工作台、性能优化与规则管理。</w:t>
      </w:r>
    </w:p>
    <w:p>
      <w:pPr>
        <w:pStyle w:val="ListBullet"/>
        <w:spacing w:after="100"/>
      </w:pPr>
      <w:r>
        <w:t>业务 Agent 开发者：提供版本和任务语义，确认异常，实施改进并验证业务效果。</w:t>
      </w:r>
    </w:p>
    <w:p>
      <w:pPr>
        <w:pStyle w:val="Heading2"/>
      </w:pPr>
      <w:r>
        <w:t>第一版边界</w:t>
      </w:r>
    </w:p>
    <w:p>
      <w:r>
        <w:t>纳入：周期批量分析、三类异常、证据下钻、建议与复核记录、候选规则自动生成和验证。后续扩展：在线阻断、无人值守启用规则、自动修改业务代码、精确到任务的硬件成本归因，以及覆盖全部模型与全部租户的常态化运营。</w:t>
      </w:r>
    </w:p>
    <w:p>
      <w:pPr>
        <w:pStyle w:val="Heading1"/>
        <w:pageBreakBefore/>
      </w:pPr>
      <w:r>
        <w:t>9 验收标准与收益验证</w:t>
      </w:r>
    </w:p>
    <w:p>
      <w:r>
        <w:t>验收分为计量正确、诊断可信、运行可持续和业务价值四部分。第一版优先证明数据与证据闭环成立；资源节省和人力降低幅度通过试点形成基线，不预先承诺统一百分比。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1"/>
        <w:gridCol w:w="8093"/>
      </w:tblGrid>
      <w:tr>
        <w:trPr>
          <w:cantSplit/>
          <w:tblHeader/>
        </w:trPr>
        <w:tc>
          <w:tcPr>
            <w:tcW w:type="dxa" w:w="190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213A51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验收项</w:t>
            </w:r>
          </w:p>
        </w:tc>
        <w:tc>
          <w:tcPr>
            <w:tcW w:type="dxa" w:w="8093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213A51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第一版建议门槛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输入编码和计量</w:t>
            </w:r>
          </w:p>
        </w:tc>
        <w:tc>
          <w:tcPr>
            <w:tcW w:type="dxa" w:w="8093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对每个已接入模型与配置建立固定样本集，Token ID 与服务端一致；usage、缓存和新计算量差异能够逐项解释。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数据完整与任务关联</w:t>
            </w:r>
          </w:p>
        </w:tc>
        <w:tc>
          <w:tcPr>
            <w:tcW w:type="dxa" w:w="8093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建议有效事件关键字段完整率及可关联率均不低于 99%；缺失、迟到、重复和未结束任务有独立统计。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三类诊断能力</w:t>
            </w:r>
          </w:p>
        </w:tc>
        <w:tc>
          <w:tcPr>
            <w:tcW w:type="dxa" w:w="8093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每类都有已知异常与正常反例；分原因报告人工确认准确率、漏检、误报和未解释比例。建议试点告警确认准确率达到 90%，低样本原因保留人工复核。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分析吞吐与稳定性</w:t>
            </w:r>
          </w:p>
        </w:tc>
        <w:tc>
          <w:tcPr>
            <w:tcW w:type="dxa" w:w="8093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在约定试点峰值规模下，建议 2 小时窗口的批次分析不超过 1 小时，连续运行 7 天无持续积压；报告 CPU、内存、编码吞吐和缓存复用。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自进化闭环</w:t>
            </w:r>
          </w:p>
        </w:tc>
        <w:tc>
          <w:tcPr>
            <w:tcW w:type="dxa" w:w="8093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1F5F8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至少一个候选规则通过独立样本、跨业务适用性验证和影子运行；能够追溯版本并回滚。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产品可用性</w:t>
            </w:r>
          </w:p>
        </w:tc>
        <w:tc>
          <w:tcPr>
            <w:tcW w:type="dxa" w:w="8093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从业务窗口定位到任务、请求和证据；可记录处理人、建议动作、业务反馈及效果对照。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Caption"/>
      </w:pPr>
      <w:r>
        <w:t>表 3 数值为试点建议门槛，需在 P0 按数据规模与可用样本确认；样本数、评估范围和未覆盖原因应随验收结果一起报告。</w:t>
      </w:r>
    </w:p>
    <w:p>
      <w:pPr>
        <w:pStyle w:val="Heading2"/>
      </w:pPr>
      <w:r>
        <w:t>资源成本如何核算</w:t>
      </w:r>
    </w:p>
    <w:p>
      <w:r>
        <w:t>固定模型、硬件与服务配置，以同一任务集或业务组成、任务难度和并发可比的流量做回放或受控灰度。输入长度和调用次数允许随优化变化。先验证任务质量与 SLO，再测量单位成功任务资源消耗或 SLO 达标吞吐；缺少任务结果时，先报告请求级资源和性能。</w:t>
      </w:r>
    </w:p>
    <w:p>
      <w:r>
        <w:t>以实际减少的卡时乘内部单位成本，形成可核算资源节省；仅释放容量但未缩容时，报告容量收益或延后扩容空间。人力收益按节约小时与内部成本核算，再扣除 TokenScope 分析、Agent 推理、误报处理及维护成本，避免重复计算。</w:t>
      </w:r>
    </w:p>
    <w:p>
      <w:pPr>
        <w:pStyle w:val="Heading2"/>
      </w:pPr>
      <w:r>
        <w:t>试点需要形成的决策</w:t>
      </w:r>
    </w:p>
    <w:p>
      <w:r>
        <w:t>试点结束后确认：三类问题的真实发生频率、哪些探测器值得推广、哪些模型配置仍需适配、批次周期是否足够，以及自动化节省是否覆盖运行和维护投入。以这些结果决定第二阶段扩大覆盖面或增加在线干预。</w:t>
      </w:r>
    </w:p>
    <w:p>
      <w:pPr>
        <w:pStyle w:val="Heading1"/>
        <w:pageBreakBefore/>
      </w:pPr>
      <w:r>
        <w:t>附录 依据与参考实现</w:t>
      </w:r>
    </w:p>
    <w:p>
      <w:r>
        <w:t>已有成果采用 PrefixLens-PPT 案例材料，产品范围采用本次业务讨论中确认的服务模式和数据条件。公开项目用于实现参考，论文用于设计依据，不将其基准结果作为 TokenScope 的收益承诺。</w:t>
      </w:r>
    </w:p>
    <w:p>
      <w:pPr>
        <w:pStyle w:val="Heading2"/>
      </w:pPr>
      <w:r>
        <w:t>内部依据</w:t>
      </w:r>
    </w:p>
    <w:p>
      <w:r>
        <w:t>[P1] PrefixLens-ppt/PrefixLens/outline.md：已有诊断能力、ICSL 与财经结果，以及诊断周期。财经案例使用其中的保守值。</w:t>
      </w:r>
    </w:p>
    <w:p>
      <w:r>
        <w:t>[P2] PrefixLens-ppt/PrefixLens/prefixlens_report.html：完整版本产品描述、前缀诊断与流量回放、运行时适配说明。材料中的界面占位图不作为真实产品截图引用。</w:t>
      </w:r>
    </w:p>
    <w:p>
      <w:r>
        <w:t>[P3] PrefixLens/README.md、USAGE.md 与本机核心源码：基础版输入编码、理想命中统计、模型/APP 报告和 Prompt 变体分析。完整能力清单以实验机盘点为准。</w:t>
      </w:r>
    </w:p>
    <w:p>
      <w:pPr>
        <w:pStyle w:val="Heading2"/>
      </w:pPr>
      <w:r>
        <w:t>公开代码与规范</w:t>
      </w:r>
    </w:p>
    <w:p>
      <w:pPr>
        <w:spacing w:after="120"/>
      </w:pPr>
      <w:hyperlink r:id="rId13">
        <w:r>
          <w:rPr>
            <w:color w:val="213A51"/>
            <w:rFonts w:eastAsia="Microsoft YaHei"/>
            <w:sz w:val="19"/>
          </w:rPr>
          <w:t>[R1] DeepSeek Recipe</w:t>
        </w:r>
      </w:hyperlink>
      <w:r>
        <w:rPr>
          <w:sz w:val="19"/>
        </w:rPr>
        <w:t xml:space="preserve">  Rust 渲染、特殊 Token 区间和批量编码；重点文件 deepseek-recipe-encoding/src/tokenizer.rs。</w:t>
      </w:r>
    </w:p>
    <w:p>
      <w:pPr>
        <w:spacing w:after="120"/>
      </w:pPr>
      <w:hyperlink r:id="rId14">
        <w:r>
          <w:rPr>
            <w:color w:val="213A51"/>
            <w:rFonts w:eastAsia="Microsoft YaHei"/>
            <w:sz w:val="19"/>
          </w:rPr>
          <w:t>[R2] vLLM 请求与 Prefill 统计</w:t>
        </w:r>
      </w:hyperlink>
      <w:r>
        <w:rPr>
          <w:sz w:val="19"/>
        </w:rPr>
        <w:t xml:space="preserve">  本地计算、本地缓存、外部 KV 与请求统计的数据结构。</w:t>
      </w:r>
    </w:p>
    <w:p>
      <w:pPr>
        <w:spacing w:after="120"/>
      </w:pPr>
      <w:hyperlink r:id="rId15">
        <w:r>
          <w:rPr>
            <w:color w:val="213A51"/>
            <w:rFonts w:eastAsia="Microsoft YaHei"/>
            <w:sz w:val="19"/>
          </w:rPr>
          <w:t>[R3] OpenTelemetry GenAI 语义约定</w:t>
        </w:r>
      </w:hyperlink>
      <w:r>
        <w:rPr>
          <w:sz w:val="19"/>
        </w:rPr>
        <w:t xml:space="preserve">  用于模型、Agent、工具调用和 usage 字段的接入参考，采用时固定版本。</w:t>
      </w:r>
    </w:p>
    <w:p>
      <w:pPr>
        <w:spacing w:after="120"/>
      </w:pPr>
      <w:hyperlink r:id="rId16">
        <w:r>
          <w:rPr>
            <w:color w:val="213A51"/>
            <w:rFonts w:eastAsia="Microsoft YaHei"/>
            <w:sz w:val="19"/>
          </w:rPr>
          <w:t>[R4] SupervisorAgent</w:t>
        </w:r>
      </w:hyperlink>
      <w:r>
        <w:rPr>
          <w:sz w:val="19"/>
        </w:rPr>
        <w:t xml:space="preserve">  低成本过滤后选择性调用监督 Agent；用于触发与调查流程参考。</w:t>
      </w:r>
    </w:p>
    <w:p>
      <w:pPr>
        <w:spacing w:after="120"/>
      </w:pPr>
      <w:hyperlink r:id="rId17">
        <w:r>
          <w:rPr>
            <w:color w:val="213A51"/>
            <w:rFonts w:eastAsia="Microsoft YaHei"/>
            <w:sz w:val="19"/>
          </w:rPr>
          <w:t>[R5] Evidently 数据漂移</w:t>
        </w:r>
      </w:hyperlink>
      <w:r>
        <w:rPr>
          <w:sz w:val="19"/>
        </w:rPr>
        <w:t xml:space="preserve">  参考批次与当前批次的分布比较，阈值需按实际业务校准。</w:t>
      </w:r>
    </w:p>
    <w:p>
      <w:pPr>
        <w:spacing w:after="120"/>
      </w:pPr>
      <w:hyperlink r:id="rId18">
        <w:r>
          <w:rPr>
            <w:color w:val="213A51"/>
            <w:rFonts w:eastAsia="Microsoft YaHei"/>
            <w:sz w:val="19"/>
          </w:rPr>
          <w:t>[R6] Polars 流式处理</w:t>
        </w:r>
      </w:hyperlink>
      <w:r>
        <w:rPr>
          <w:sz w:val="19"/>
        </w:rPr>
        <w:t xml:space="preserve">  用于大规模离线聚合与内存控制。</w:t>
      </w:r>
    </w:p>
    <w:p>
      <w:pPr>
        <w:pStyle w:val="Heading2"/>
      </w:pPr>
      <w:r>
        <w:t>相关论文</w:t>
      </w:r>
    </w:p>
    <w:p>
      <w:pPr>
        <w:spacing w:after="120"/>
      </w:pPr>
      <w:hyperlink r:id="rId19">
        <w:r>
          <w:rPr>
            <w:color w:val="213A51"/>
            <w:rFonts w:eastAsia="Microsoft YaHei"/>
            <w:sz w:val="19"/>
          </w:rPr>
          <w:t>[R7] How Do AI Agents Spend Your Money</w:t>
        </w:r>
      </w:hyperlink>
      <w:r>
        <w:rPr>
          <w:sz w:val="19"/>
        </w:rPr>
        <w:t xml:space="preserve">  2026；编程 Agent 的 Token 波动、输入占比与任务阶段分析。</w:t>
      </w:r>
    </w:p>
    <w:p>
      <w:pPr>
        <w:spacing w:after="120"/>
      </w:pPr>
      <w:hyperlink r:id="rId20">
        <w:r>
          <w:rPr>
            <w:color w:val="213A51"/>
            <w:rFonts w:eastAsia="Microsoft YaHei"/>
            <w:sz w:val="19"/>
          </w:rPr>
          <w:t>[R8] Stop Wasting Your Tokens</w:t>
        </w:r>
      </w:hyperlink>
      <w:r>
        <w:rPr>
          <w:sz w:val="19"/>
        </w:rPr>
        <w:t xml:space="preserve">  ICLR 2026；SupervisorAgent 的选择性监督方法。</w:t>
      </w:r>
    </w:p>
    <w:p>
      <w:pPr>
        <w:spacing w:after="120"/>
      </w:pPr>
      <w:hyperlink r:id="rId21">
        <w:r>
          <w:rPr>
            <w:color w:val="213A51"/>
            <w:rFonts w:eastAsia="Microsoft YaHei"/>
            <w:sz w:val="19"/>
          </w:rPr>
          <w:t>[R9] Early Diagnosis of Wasted Computation</w:t>
        </w:r>
      </w:hyperlink>
      <w:r>
        <w:rPr>
          <w:sz w:val="19"/>
        </w:rPr>
        <w:t xml:space="preserve">  2026 预印本；重复行为、工具故障、低信息增益与选择性深入评估。</w:t>
      </w:r>
    </w:p>
    <w:p>
      <w:pPr>
        <w:spacing w:after="120"/>
      </w:pPr>
      <w:hyperlink r:id="rId22">
        <w:r>
          <w:rPr>
            <w:color w:val="213A51"/>
            <w:rFonts w:eastAsia="Microsoft YaHei"/>
            <w:sz w:val="19"/>
          </w:rPr>
          <w:t>[R10] Why Do Multi Agent LLM Systems Fail</w:t>
        </w:r>
      </w:hyperlink>
      <w:r>
        <w:rPr>
          <w:sz w:val="19"/>
        </w:rPr>
        <w:t xml:space="preserve">  2025；MAST 失败分类和标注轨迹，可作为原因体系与验证集参考。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893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讨论稿 V0.1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8"/>
      </w:rPr>
      <w:t>TokenScope  词元洞察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00"/>
    </w:pPr>
    <w:rPr>
      <w:rFonts w:ascii="Microsoft YaHei" w:hAnsi="Microsoft YaHei" w:eastAsia="Microsoft YaHei" w:cs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24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2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  <w:rPr>
      <w:rFonts w:ascii="Microsoft YaHei" w:hAnsi="Microsoft YaHei" w:eastAsia="Microsoft YaHei" w:cs="Microsoft YaHe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/>
    </w:pPr>
    <w:rPr>
      <w:rFonts w:ascii="Microsoft YaHei" w:hAnsi="Microsoft YaHei" w:eastAsia="Microsoft YaHei" w:cs="Microsoft YaHei"/>
      <w:b w:val="0"/>
      <w:bCs/>
      <w:color w:val="58636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github.com/deepseek-ai/deepseek-recipe" TargetMode="External"/><Relationship Id="rId14" Type="http://schemas.openxmlformats.org/officeDocument/2006/relationships/hyperlink" Target="https://github.com/vllm-project/vllm/blob/main/vllm/v1/metrics/stats.py" TargetMode="External"/><Relationship Id="rId15" Type="http://schemas.openxmlformats.org/officeDocument/2006/relationships/hyperlink" Target="https://github.com/open-telemetry/semantic-conventions-genai" TargetMode="External"/><Relationship Id="rId16" Type="http://schemas.openxmlformats.org/officeDocument/2006/relationships/hyperlink" Target="https://github.com/LINs-lab/SupervisorAgent" TargetMode="External"/><Relationship Id="rId17" Type="http://schemas.openxmlformats.org/officeDocument/2006/relationships/hyperlink" Target="https://docs.evidentlyai.com/metrics/explainer_drift" TargetMode="External"/><Relationship Id="rId18" Type="http://schemas.openxmlformats.org/officeDocument/2006/relationships/hyperlink" Target="https://docs.pola.rs/user-guide/concepts/streaming/" TargetMode="External"/><Relationship Id="rId19" Type="http://schemas.openxmlformats.org/officeDocument/2006/relationships/hyperlink" Target="https://arxiv.org/abs/2604.22750" TargetMode="External"/><Relationship Id="rId20" Type="http://schemas.openxmlformats.org/officeDocument/2006/relationships/hyperlink" Target="https://arxiv.org/abs/2510.26585" TargetMode="External"/><Relationship Id="rId21" Type="http://schemas.openxmlformats.org/officeDocument/2006/relationships/hyperlink" Target="https://arxiv.org/abs/2606.01365" TargetMode="External"/><Relationship Id="rId22" Type="http://schemas.openxmlformats.org/officeDocument/2006/relationships/hyperlink" Target="https://arxiv.org/abs/2503.136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TokenScope 第一版设计文档</dc:title>
  <dc:subject>面向企业 MaaS 的 Token 运营与自进化诊断设计</dc:subject>
  <dc:creator>TokenScope 项目组</dc:creator>
  <cp:keywords>TokenScope, PrefixLens, MaaS, Token运营, SLO, Agent诊断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