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PingFang SC" w:hAnsi="PingFang SC" w:eastAsia="PingFang SC"/>
          <w:b/>
          <w:color w:val="1F4E79"/>
          <w:sz w:val="48"/>
        </w:rPr>
        <w:t>三相电并网仿真教学系统</w:t>
      </w:r>
    </w:p>
    <w:p>
      <w:pPr>
        <w:spacing w:after="560"/>
        <w:jc w:val="center"/>
      </w:pPr>
      <w:r>
        <w:rPr>
          <w:rFonts w:ascii="PingFang SC" w:hAnsi="PingFang SC" w:eastAsia="PingFang SC"/>
          <w:b/>
          <w:color w:val="2E74B5"/>
          <w:sz w:val="40"/>
        </w:rPr>
        <w:t>未来硬件替代计划（精简版）</w:t>
      </w:r>
    </w:p>
    <w:p>
      <w:pPr>
        <w:jc w:val="center"/>
      </w:pPr>
      <w:r>
        <w:rPr>
          <w:rFonts w:ascii="PingFang SC" w:hAnsi="PingFang SC" w:eastAsia="PingFang SC"/>
          <w:color w:val="505050"/>
          <w:sz w:val="22"/>
        </w:rPr>
        <w:t>基于《软硬结合需求定义（初稿）》整理，用于后续硬件设计、接口定义和阶段推进。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文档版本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V0.2 精简规划版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编制日期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2026-04-28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适用对象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三相电并网仿真教学系统后续硬件替代规划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主要用途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明确硬件替代边界、阶段路线、安全底线和下一步设计输入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精简原则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保留规划决策，压缩需求编号、长表格、字段细节和追踪矩阵</w:t>
            </w:r>
          </w:p>
        </w:tc>
      </w:tr>
    </w:tbl>
    <w:p>
      <w:pPr>
        <w:spacing w:after="40"/>
      </w:pPr>
    </w:p>
    <w:p>
      <w:pPr>
        <w:spacing w:before="160" w:after="0" w:line="283" w:lineRule="auto"/>
      </w:pPr>
      <w:r>
        <w:rPr>
          <w:rFonts w:ascii="PingFang SC" w:hAnsi="PingFang SC" w:eastAsia="PingFang SC"/>
        </w:rPr>
        <w:t>本文不替代原始详细需求稿。原稿继续作为后续原理图、IO 点表、端子排、通信映射和验收用例的详细依据；本文件仅用于规划、沟通和阶段推进。</w:t>
      </w:r>
    </w:p>
    <w:p>
      <w:r>
        <w:br w:type="page"/>
      </w:r>
    </w:p>
    <w:p>
      <w:pPr>
        <w:pStyle w:val="Heading1"/>
        <w:keepNext/>
      </w:pPr>
      <w:r>
        <w:t>1. 项目目标与边界</w:t>
      </w:r>
    </w:p>
    <w:p>
      <w:pPr>
        <w:spacing w:before="0" w:after="120" w:line="283" w:lineRule="auto"/>
      </w:pPr>
      <w:r>
        <w:rPr>
          <w:rFonts w:ascii="PingFang SC" w:hAnsi="PingFang SC" w:eastAsia="PingFang SC"/>
        </w:rPr>
        <w:t>本项目的核心目标，是把现有纯软件仿真的三相电并网教学系统，逐步升级为“上位机教学与考核平台 + 下位机硬件操作与测量平台”的软硬结合实训系统。系统追求真实操作、真实低压测量、真实故障现象和真实闭锁反馈，而不是建设真实高压并网装置。</w:t>
      </w:r>
    </w:p>
    <w:p>
      <w:pPr>
        <w:pStyle w:val="ListBullet"/>
        <w:spacing w:after="60" w:line="269" w:lineRule="auto"/>
      </w:pPr>
      <w:r>
        <w:rPr>
          <w:rFonts w:ascii="PingFang SC" w:hAnsi="PingFang SC" w:eastAsia="PingFang SC"/>
        </w:rPr>
        <w:t>教学目标：围绕五步流程完成回路连通性、PT 线电压、相序、端子压差和同步合闸训练。</w:t>
      </w:r>
    </w:p>
    <w:p>
      <w:pPr>
        <w:pStyle w:val="ListBullet"/>
        <w:spacing w:after="60" w:line="269" w:lineRule="auto"/>
      </w:pPr>
      <w:r>
        <w:rPr>
          <w:rFonts w:ascii="PingFang SC" w:hAnsi="PingFang SC" w:eastAsia="PingFang SC"/>
        </w:rPr>
        <w:t>工程边界：硬件侧采用安全低压或隔离低能量信号，软件侧可按比例显示为工程电力系统。</w:t>
      </w:r>
    </w:p>
    <w:p>
      <w:pPr>
        <w:pStyle w:val="ListBullet"/>
        <w:spacing w:after="60" w:line="269" w:lineRule="auto"/>
      </w:pPr>
      <w:r>
        <w:rPr>
          <w:rFonts w:ascii="PingFang SC" w:hAnsi="PingFang SC" w:eastAsia="PingFang SC"/>
        </w:rPr>
        <w:t>技术路线：本阶段不预设 PLC、嵌入式或混合方案，先冻结功能边界、接口语义和安全要求。</w:t>
      </w:r>
    </w:p>
    <w:p>
      <w:pPr>
        <w:pStyle w:val="ListBullet"/>
        <w:spacing w:after="100" w:line="276" w:lineRule="auto"/>
      </w:pPr>
      <w:r/>
      <w:r>
        <w:rPr>
          <w:rFonts w:ascii="PingFang SC" w:hAnsi="PingFang SC" w:eastAsia="PingFang SC"/>
          <w:sz w:val="21"/>
        </w:rPr>
        <w:t>近期重点：优先完成实体操作、清晰标注端子、普通万用表测量与手动录入闭环，随后再推进自动采集和故障注入。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3798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纳入</w:t>
            </w:r>
          </w:p>
        </w:tc>
        <w:tc>
          <w:tcPr>
            <w:tcW w:type="dxa" w:w="3572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不纳入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教学对象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并网前检查、PT 检查、故障排查、同期闭锁与合闸训练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真实公共电网并网、真实高压一次系统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能量等级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24V/48V/100V 以内或经隔离、限流、熔断的低能量信号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真实大电流短路事故和高能故障释放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控制职责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下位机执行 IO、测量、故障注入、反馈和基础联锁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由 Python 上位机直接承担最终安全保护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教学资产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上位机保留流程、题库、评分、日志、可视化和报告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把评分逻辑和题库答案固化到 PLC 或嵌入式内部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当前软件保留内容</w:t>
      </w:r>
    </w:p>
    <w:p>
      <w:pPr>
        <w:spacing w:before="0" w:after="120" w:line="283" w:lineRule="auto"/>
      </w:pPr>
      <w:r>
        <w:rPr>
          <w:rFonts w:ascii="PingFang SC" w:hAnsi="PingFang SC" w:eastAsia="PingFang SC"/>
        </w:rPr>
        <w:t>硬件替代不是重写上位机，也不是把教学逻辑全部下沉到控制器。现有软件应继续承担教学组织和考核价值；硬件只提供真实状态、真实测量和可验证反馈。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软件保留项</w:t>
            </w:r>
          </w:p>
        </w:tc>
        <w:tc>
          <w:tcPr>
            <w:tcW w:type="dxa" w:w="3515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保留原因</w:t>
            </w:r>
          </w:p>
        </w:tc>
        <w:tc>
          <w:tcPr>
            <w:tcW w:type="dxa" w:w="3742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硬件配合方式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五步教学流程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流程需要灵活调整、提示、重复训练和考核记录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上传实体操作状态；第一版由学生手动录入测量值，后续再接入自动采集。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故障题库与隐藏答案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考核内容应由教师端管理，不能暴露在学生硬件端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按题库要求执行故障矩阵，反馈执行状态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评分与日志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评分需综合时间、步骤、测量、误操作和修复结果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提供带时间戳的事件、快照和闭锁原因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主接线图与波形显示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可视化解释是上位机优势，便于教学演示和复盘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上传状态、测量、sync_ok 和必要波形/相角数据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训练/考核/维护模式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模式策略与权限管理属于教学软件资产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下位机按模式限制输出和维护测试能力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硬件替代范围</w:t>
      </w:r>
    </w:p>
    <w:p>
      <w:pPr>
        <w:spacing w:before="0" w:after="120" w:line="283" w:lineRule="auto"/>
      </w:pPr>
      <w:r>
        <w:rPr>
          <w:rFonts w:ascii="PingFang SC" w:hAnsi="PingFang SC" w:eastAsia="PingFang SC"/>
        </w:rPr>
        <w:t>硬件替代应按层级推进，避免一次性堆叠 IO、采样和保护功能。每一层都必须服务五步教学流程，并能被上位机记录和验收。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268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742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主要替代内容</w:t>
            </w:r>
          </w:p>
        </w:tc>
        <w:tc>
          <w:tcPr>
            <w:tcW w:type="dxa" w:w="1247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建议阶段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L1 操作硬件化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把鼠标点击变成实体动作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启停、模式选择、合分闸按钮、断路器位置、接地方式、急停、状态灯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V1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L2 测量硬件化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PingFang SC" w:hAnsi="PingFang SC" w:eastAsia="PingFang SC"/>
                <w:sz w:val="18"/>
              </w:rPr>
              <w:t>让学生使用普通万用表和真实端子完成检查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标注端子、普通万用表测量与手动录入；后续扩展通断检测、PT 线电压、端子压差、相序自动采集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V2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L3 故障与闭锁硬件化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让故障和合闸闭锁具有硬件反馈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E01-E04 故障矩阵、sync_ok、位置联锁、故障未修复闭锁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V2/V3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L4 实时测量与保护硬件化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支持更完整的同步和扩展实训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ΔU、Δf、Δφ、过流/欠压、波形采样、事件录波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V3/V4</w:t>
            </w:r>
          </w:p>
        </w:tc>
      </w:tr>
    </w:tbl>
    <w:p>
      <w:pPr>
        <w:spacing w:after="40"/>
      </w:pP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近期硬件模块</w:t>
            </w:r>
          </w:p>
        </w:tc>
        <w:tc>
          <w:tcPr>
            <w:tcW w:type="dxa" w:w="4195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最低能力</w:t>
            </w:r>
          </w:p>
        </w:tc>
        <w:tc>
          <w:tcPr>
            <w:tcW w:type="dxa" w:w="2835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规划意义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实体操作面板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两台机组启停、合分闸、位置、接地方式、急停和指示反馈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支撑学生真实操作，完成 V1 的体验替代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标注端子与普通万用表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端子排直接标注 PT1_A/PT1_B/PT1_C、PT2_A 等节点；学生用普通万用表测量并在上位机录入读数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第一版先建立真实端子测量动作与软件判定闭环，暂不要求表笔自动识别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PT 低压测量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开发板提供安全低压等效 PT 信号；第一版读数由普通万用表测得并手动录入，后续再接自动采集与状态码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支撑第二步测量和故障现象呈现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相序与压差判断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ABC/ACB/异常/未知；对应相与异常压差区分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支撑第三、四步考核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故障注入矩阵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至少实现 E01-E04，掉电或通信中断时回到安全状态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让故障题库从纯软件变为可测量现象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同期闭锁信号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提供 sync_ok，必要时扩展 ΔU、Δf、Δφ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支撑第五步同步测试和合闸安全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ingFang SC" w:hAnsi="PingFang SC" w:eastAsia="PingFang SC"/>
        </w:rPr>
        <w:t>第一版表笔测量方案</w:t>
      </w:r>
    </w:p>
    <w:p>
      <w:pPr>
        <w:spacing w:after="100" w:line="276" w:lineRule="auto"/>
      </w:pPr>
      <w:r>
        <w:rPr>
          <w:rFonts w:ascii="PingFang SC" w:hAnsi="PingFang SC" w:eastAsia="PingFang SC"/>
          <w:sz w:val="21"/>
        </w:rPr>
        <w:t>第一版不做表笔节点自动识别，也不要求内置测量模块回传读数。开发板或面板上直接把每个端子名称标注清楚，学生使用普通万用表按软件提示测量指定端子对，并把读数录入上位机。这样可以先验证真实端子、真实测量动作和软件判定流程。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第一版做法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后续升级方向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端子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在开发板/面板上固定标注 PT1_A、PT1_B、PT1_C、PT2_A 等节点，按分组和相别排布。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可升级为带插入检测或节点编码的端子。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测量工具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使用普通万用表，学生按软件提示测量指定端子对。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可升级为带通信接口的万用表或系统内置测量模块。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数据回传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学生手动录入电压、通断或异常现象；软件按阈值和当前故障状态判定。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自动上传 red_probe_node、black_probe_node、value、status 等字段。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适用阶段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V1 原型与训练模式，重点验证真实端子测量流程。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V2/V3 再提升考核自动化和防误填能力。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设计约束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端子必须安全低压、隔离限流、标注清晰；录入界面需保存测量项、读数、单位和时间。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追加防误插、自动识别、采集状态码和校准机制。</w:t>
            </w:r>
          </w:p>
        </w:tc>
      </w:tr>
    </w:tbl>
    <w:p>
      <w:pPr>
        <w:spacing w:after="100" w:line="276" w:lineRule="auto"/>
      </w:pPr>
      <w:r>
        <w:rPr>
          <w:rFonts w:ascii="PingFang SC" w:hAnsi="PingFang SC" w:eastAsia="PingFang SC"/>
          <w:sz w:val="21"/>
        </w:rPr>
        <w:t>该方案的取舍是：第一版不自动证明学生实际插到了哪个端子，但能最快完成软硬结合闭环；后续是否做表笔识别，应根据考核严格程度、端子数量和成本再决定。</w:t>
      </w:r>
    </w:p>
    <w:p>
      <w:pPr>
        <w:spacing w:before="80" w:after="100" w:line="276" w:lineRule="auto"/>
      </w:pPr>
      <w:r/>
      <w:r>
        <w:rPr>
          <w:rFonts w:ascii="PingFang SC" w:hAnsi="PingFang SC" w:eastAsia="PingFang SC"/>
          <w:sz w:val="21"/>
        </w:rPr>
        <w:t>统一接口原则：第一版由上位机保存学生手动录入的测量值、端子组合和判定结果；后续再通过 PlantAdapter 接入自动采集的硬件快照与命令请求。PlantSnapshot 和 PlantCommand 仍作为平台无关语义，不在规划版展开完整字段。</w:t>
      </w:r>
    </w:p>
    <w:p>
      <w:r>
        <w:br w:type="page"/>
      </w:r>
    </w:p>
    <w:p>
      <w:pPr>
        <w:pStyle w:val="Heading1"/>
        <w:keepNext/>
      </w:pPr>
      <w:r>
        <w:t>4. 安全底线与联锁要求</w:t>
      </w:r>
    </w:p>
    <w:p>
      <w:pPr>
        <w:spacing w:before="0" w:after="120" w:line="283" w:lineRule="auto"/>
      </w:pPr>
      <w:r>
        <w:rPr>
          <w:rFonts w:ascii="PingFang SC" w:hAnsi="PingFang SC" w:eastAsia="PingFang SC"/>
        </w:rPr>
        <w:t>即使硬件侧采用低压等效信号，也必须按“学生会误插、通信会中断、软件会崩溃、控制器会复位”的前提设计。安全目标不只是不触电，还包括避免误合闸、短路、过流、端子误接、继电器误动作和设备损坏。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安全底线</w:t>
            </w:r>
          </w:p>
        </w:tc>
        <w:tc>
          <w:tcPr>
            <w:tcW w:type="dxa" w:w="4082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必须满足的设计要求</w:t>
            </w:r>
          </w:p>
        </w:tc>
        <w:tc>
          <w:tcPr>
            <w:tcW w:type="dxa" w:w="3175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验收关注点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低压隔离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所有学生可触及端子采用安全低压，或经隔离、限流、熔断保护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误插、跨相测量、端子短接时不损坏设备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急停独立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急停采用硬接线或等效独立安全回路，不依赖上位机和普通通信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急停后危险输出切断，未人工复位不得恢复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合闸双重闭锁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上位机流程闭锁只能作为第一层，下位机必须在输出前检查硬件条件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不同期、位置错误、急停、通信异常时不得合闸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失效安全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通信超时、下位机复位、掉电时 DO 默认断开，故障矩阵回到无危险状态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复位或断联期间不得出现合闸脉冲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反馈闭环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断路器、继电器、故障矩阵和自动测量通道必须有反馈或自检；第一版手动录入值需保留人工确认和记录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上位机不能仅凭命令假定动作成功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维护隔离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维护模式允许单点测试，但禁止学生训练合闸流程和危险输出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维护状态清晰可见，测试动作可追踪</w:t>
            </w:r>
          </w:p>
        </w:tc>
      </w:tr>
    </w:tbl>
    <w:p>
      <w:pPr>
        <w:spacing w:after="40"/>
      </w:pPr>
    </w:p>
    <w:p>
      <w:pPr>
        <w:spacing w:before="80" w:after="100" w:line="276" w:lineRule="auto"/>
      </w:pPr>
      <w:r/>
      <w:r>
        <w:rPr>
          <w:rFonts w:ascii="PingFang SC" w:hAnsi="PingFang SC" w:eastAsia="PingFang SC"/>
          <w:sz w:val="21"/>
        </w:rPr>
        <w:t>安全等级可简化为三条规划准则：提示只能教育，不能保护；软件可以拒绝命令，但不能作为最终保护；急停、限能、熔断、线圈电源和关键输出闭锁必须由硬件或下位机独立承担。第一版使用普通万用表时，端子必须保持安全低压、清晰标注，并避免学生误短接造成设备损坏。</w:t>
      </w:r>
    </w:p>
    <w:p>
      <w:r>
        <w:br w:type="page"/>
      </w:r>
    </w:p>
    <w:p>
      <w:pPr>
        <w:pStyle w:val="Heading1"/>
        <w:keepNext/>
      </w:pPr>
      <w:r>
        <w:t>5. 分阶段实施路线</w:t>
      </w:r>
    </w:p>
    <w:p>
      <w:pPr>
        <w:spacing w:before="0" w:after="120" w:line="283" w:lineRule="auto"/>
      </w:pPr>
      <w:r>
        <w:rPr>
          <w:rFonts w:ascii="PingFang SC" w:hAnsi="PingFang SC" w:eastAsia="PingFang SC"/>
        </w:rPr>
        <w:t>建议采用分阶段替代路线。V1/V2 优先解决“学生能真实操作、真实测量、真实看到故障现象”的问题；V3/V4 再扩展同步参数、闭锁深度、波形和高级实训。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268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572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835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验收重点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V1 操作硬件化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让实体输入驱动现有上位机流程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操作面板、断路器位置、基础反馈、清晰标注端子、普通万用表测量入口、硬件/仿真模式切换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状态响应及时；日志正确；安全状态和通信稳定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V2 测量硬件化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让五步流程前三/四步具备真实测量基础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PT 低压信号源、端子压差训练、通断/相序检查、E01-E04 故障矩阵；自动采集作为后续增强项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测量值可判定正常/异常；故障现象和题库一致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V3 同期与闭锁硬件化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让第五步同步测试和合闸闭锁可验收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sync_ok、ΔU/Δf/Δφ、断路器合闸闭锁、通信中断保护、故障未修复闭锁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不同期不得合闸；闭锁原因可记录；反馈与实际一致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V4 高级扩展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支持高级教学、科研或综合实训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电流测量、波形上传、事件录波、低压真实并联系统或 HIL 接入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高级数据稳定，扩展不破坏 V1-V3 基础流程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近期推进重点</w:t>
      </w:r>
    </w:p>
    <w:p>
      <w:pPr>
        <w:pStyle w:val="ListBullet"/>
        <w:spacing w:after="60" w:line="269" w:lineRule="auto"/>
      </w:pPr>
      <w:r/>
      <w:r>
        <w:rPr>
          <w:rFonts w:ascii="PingFang SC" w:hAnsi="PingFang SC" w:eastAsia="PingFang SC"/>
          <w:sz w:val="20"/>
        </w:rPr>
        <w:t>优先冻结 V1：实体面板、端子名称与布局、普通万用表测量步骤、手动录入字段和判定范围；V2 再冻结自动采集、相序、端子压差和 E01-E04 的硬件等效形式。</w:t>
      </w:r>
    </w:p>
    <w:p>
      <w:pPr>
        <w:pStyle w:val="ListBullet"/>
        <w:spacing w:after="60" w:line="269" w:lineRule="auto"/>
      </w:pPr>
      <w:r>
        <w:rPr>
          <w:rFonts w:ascii="PingFang SC" w:hAnsi="PingFang SC" w:eastAsia="PingFang SC"/>
        </w:rPr>
        <w:t>暂不急于选择 PLC 或嵌入式；先确认 IO 数量、测量能力、刷新周期、安全闭锁和通信语义。</w:t>
      </w:r>
    </w:p>
    <w:p>
      <w:pPr>
        <w:pStyle w:val="ListBullet"/>
        <w:spacing w:after="60" w:line="269" w:lineRule="auto"/>
      </w:pPr>
      <w:r>
        <w:rPr>
          <w:rFonts w:ascii="PingFang SC" w:hAnsi="PingFang SC" w:eastAsia="PingFang SC"/>
        </w:rPr>
        <w:t>上位机先建立统一适配层，避免五步教学服务直接依赖 PLC 地址、Modbus 寄存器或串口字段。</w:t>
      </w:r>
    </w:p>
    <w:p>
      <w:pPr>
        <w:pStyle w:val="ListBullet"/>
        <w:spacing w:after="60" w:line="269" w:lineRule="auto"/>
      </w:pPr>
      <w:r>
        <w:rPr>
          <w:rFonts w:ascii="PingFang SC" w:hAnsi="PingFang SC" w:eastAsia="PingFang SC"/>
        </w:rPr>
        <w:t>每完成一个阶段，都用教学场景验收，而不是只验单个 IO 点是否动作。</w:t>
      </w:r>
    </w:p>
    <w:p>
      <w:r>
        <w:br w:type="page"/>
      </w:r>
    </w:p>
    <w:p>
      <w:pPr>
        <w:pStyle w:val="Heading1"/>
        <w:keepNext/>
      </w:pPr>
      <w:r>
        <w:t>6. 下一步设计输入与验收重点</w:t>
      </w:r>
    </w:p>
    <w:p>
      <w:pPr>
        <w:spacing w:before="0" w:after="120" w:line="283" w:lineRule="auto"/>
      </w:pPr>
      <w:r>
        <w:rPr>
          <w:rFonts w:ascii="PingFang SC" w:hAnsi="PingFang SC" w:eastAsia="PingFang SC"/>
        </w:rPr>
        <w:t>进入硬件详细设计前，需要把规划项转化为可画图、可接线、可编码、可验收的输入清单。以下内容建议先冻结，再比较 PLC、嵌入式或混合方案的成本和风险。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设计输入</w:t>
            </w:r>
          </w:p>
        </w:tc>
        <w:tc>
          <w:tcPr>
            <w:tcW w:type="dxa" w:w="4706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需要冻结的内容</w:t>
            </w:r>
          </w:p>
        </w:tc>
        <w:tc>
          <w:tcPr>
            <w:tcW w:type="dxa" w:w="2438"/>
            <w:vAlign w:val="center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直接产物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IO 点表</w:t>
            </w:r>
          </w:p>
        </w:tc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按钮、旋钮、触点、继电器、灯、蜂鸣器的编号、常开/常闭和地址；表笔插孔检测作为后续扩展项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PLC/嵌入式 IO 清单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端子排图</w:t>
            </w:r>
          </w:p>
        </w:tc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LOOP、PT1/PT2/PT3、黑盒、N/G、测试公共端的名称、位置和安全标识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端子排与面板布局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测量通道表</w:t>
            </w:r>
          </w:p>
        </w:tc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第一版冻结端子输出电压范围、普通万用表读数口径和软件录入/判定规则；自动电压、压差、通断、相序、同步参数采集作为后续通道表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采样/变送器选型依据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故障矩阵图</w:t>
            </w:r>
          </w:p>
        </w:tc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E01-E04 的继电器动作、正常/故障/掉电状态和可维修方式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故障板原理图和接线表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安全联锁表</w:t>
            </w:r>
          </w:p>
        </w:tc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合闸、启动、故障注入、维护测试分别需要满足的硬件条件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下位机逻辑和硬接线联锁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通信映射表</w:t>
            </w:r>
          </w:p>
        </w:tc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PlantSnapshot/PlantCommand 的基础语义如何映射到实际协议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适配层字段表和驱动接口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验收用例</w:t>
            </w:r>
          </w:p>
        </w:tc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功能、安全、普通万用表测量录入、通信和整体验收的步骤与通过标准；自动采集验收后续补充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阶段验收记录模板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规划结论</w:t>
      </w:r>
    </w:p>
    <w:p>
      <w:pPr>
        <w:spacing w:before="0" w:after="40" w:line="283" w:lineRule="auto"/>
      </w:pPr>
      <w:r>
        <w:rPr>
          <w:rFonts w:ascii="PingFang SC" w:hAnsi="PingFang SC" w:eastAsia="PingFang SC"/>
        </w:rPr>
        <w:t>本项目下一阶段的关键，不是立即决定 PLC 或嵌入式，而是先冻结软硬边界、低压安全原则、硬件替代层级、统一通信语义和 V1/V2 的近期落地范围。只要这些输入稳定，后续无论选择 PLC、嵌入式还是混合方案，都可以复用现有上位机教学系统，并逐步把虚拟操作替换成真实硬件实训。</w:t>
      </w:r>
    </w:p>
    <w:sectPr w:rsidR="00FC693F" w:rsidRPr="0006063C" w:rsidSect="00034616">
      <w:footerReference w:type="default" r:id="rId9"/>
      <w:pgSz w:w="12240" w:h="15840"/>
      <w:pgMar w:top="1049" w:right="1134" w:bottom="99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66666"/>
        <w:sz w:val="16"/>
      </w:rPr>
      <w:t>三相电并网仿真教学系统硬件替代计划（精简版）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三相电并网仿真教学系统未来硬件替代计划（精简版）</dc:title>
  <dc:subject>硬件替代规划</dc:subject>
  <dc:creator>python-docx</dc:creator>
  <cp:keywords>三相电, 并网, 仿真教学, 硬件替代, 软硬结合</cp:keywords>
  <dc:description>基于软硬结合需求定义初稿精简整理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