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  <w:jc w:val="center"/>
      </w:pPr>
      <w:r>
        <w:rPr>
          <w:rFonts w:ascii="PingFang SC" w:hAnsi="PingFang SC" w:eastAsia="PingFang SC"/>
          <w:b/>
          <w:color w:val="1F4E79"/>
          <w:sz w:val="48"/>
        </w:rPr>
        <w:t>三相电并网仿真教学系统</w:t>
      </w:r>
    </w:p>
    <w:p>
      <w:pPr>
        <w:spacing w:after="560"/>
        <w:jc w:val="center"/>
      </w:pPr>
      <w:r>
        <w:rPr>
          <w:rFonts w:ascii="PingFang SC" w:hAnsi="PingFang SC" w:eastAsia="PingFang SC"/>
          <w:b/>
          <w:color w:val="2E74B5"/>
          <w:sz w:val="40"/>
        </w:rPr>
        <w:t>未来硬件替代计划（精简版）</w:t>
      </w:r>
    </w:p>
    <w:p>
      <w:pPr>
        <w:jc w:val="center"/>
      </w:pPr>
      <w:r>
        <w:rPr>
          <w:rFonts w:ascii="PingFang SC" w:hAnsi="PingFang SC" w:eastAsia="PingFang SC"/>
          <w:color w:val="505050"/>
          <w:sz w:val="22"/>
        </w:rPr>
        <w:t>基于《软硬结合需求定义（初稿）》整理，用于后续硬件设计、接口定义和阶段推进。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文档版本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V0.2 精简规划版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编制日期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2026-04-28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适用对象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三相电并网仿真教学系统后续硬件替代规划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主要用途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明确硬件替代边界、阶段路线、安全底线和下一步设计输入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精简原则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保留规划决策，压缩需求编号、长表格、字段细节和追踪矩阵</w:t>
            </w:r>
          </w:p>
        </w:tc>
      </w:tr>
    </w:tbl>
    <w:p>
      <w:pPr>
        <w:spacing w:after="40"/>
      </w:pPr>
    </w:p>
    <w:p>
      <w:pPr>
        <w:spacing w:before="160" w:after="0" w:line="283" w:lineRule="auto"/>
      </w:pPr>
      <w:r>
        <w:rPr>
          <w:rFonts w:ascii="PingFang SC" w:hAnsi="PingFang SC" w:eastAsia="PingFang SC"/>
        </w:rPr>
        <w:t>本文不替代原始详细需求稿。原稿继续作为后续原理图、IO 点表、端子排、通信映射和验收用例的详细依据；本文件仅用于规划、沟通和阶段推进。</w:t>
      </w:r>
    </w:p>
    <w:p>
      <w:r>
        <w:br w:type="page"/>
      </w:r>
    </w:p>
    <w:p>
      <w:pPr>
        <w:pStyle w:val="Heading1"/>
        <w:keepNext/>
      </w:pPr>
      <w:r>
        <w:t>1. 项目目标与边界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本项目的核心目标，是把现有纯软件仿真的三相电并网教学系统，逐步升级为“上位机教学与考核平台 + 下位机硬件操作与测量平台”的软硬结合实训系统。系统追求真实操作、真实低压测量、真实故障现象和真实闭锁反馈，而不是建设真实高压并网装置。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教学目标：围绕五步流程完成回路连通性、PT 线电压、相序、端子压差和同步合闸训练。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工程边界：硬件侧采用安全低压或隔离低能量信号，软件侧可按比例显示为工程电力系统。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技术路线：本阶段不预设 PLC、嵌入式或混合方案，先冻结功能边界、接口语义和安全要求。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近期重点：优先完成实体操作、表笔/端子识别、PT 测量和基础故障注入，支撑 V1/V2 落地。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79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纳入</w:t>
            </w:r>
          </w:p>
        </w:tc>
        <w:tc>
          <w:tcPr>
            <w:tcW w:type="dxa" w:w="357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不纳入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教学对象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并网前检查、PT 检查、故障排查、同期闭锁与合闸训练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真实公共电网并网、真实高压一次系统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能量等级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24V/48V/100V 以内或经隔离、限流、熔断的低能量信号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真实大电流短路事故和高能故障释放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控制职责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下位机执行 IO、测量、故障注入、反馈和基础联锁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由 Python 上位机直接承担最终安全保护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教学资产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上位机保留流程、题库、评分、日志、可视化和报告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把评分逻辑和题库答案固化到 PLC 或嵌入式内部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当前软件保留内容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硬件替代不是重写上位机，也不是把教学逻辑全部下沉到控制器。现有软件应继续承担教学组织和考核价值；硬件只提供真实状态、真实测量和可验证反馈。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软件保留项</w:t>
            </w:r>
          </w:p>
        </w:tc>
        <w:tc>
          <w:tcPr>
            <w:tcW w:type="dxa" w:w="351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保留原因</w:t>
            </w:r>
          </w:p>
        </w:tc>
        <w:tc>
          <w:tcPr>
            <w:tcW w:type="dxa" w:w="374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硬件配合方式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五步教学流程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流程需要灵活调整、提示、重复训练和考核记录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上传实体操作、表笔节点、测量值和步骤状态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故障题库与隐藏答案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考核内容应由教师端管理，不能暴露在学生硬件端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按题库要求执行故障矩阵，反馈执行状态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评分与日志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评分需综合时间、步骤、测量、误操作和修复结果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提供带时间戳的事件、快照和闭锁原因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主接线图与波形显示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可视化解释是上位机优势，便于教学演示和复盘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上传状态、测量、sync_ok 和必要波形/相角数据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训练/考核/维护模式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模式策略与权限管理属于教学软件资产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下位机按模式限制输出和维护测试能力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硬件替代范围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硬件替代应按层级推进，避免一次性堆叠 IO、采样和保护功能。每一层都必须服务五步教学流程，并能被上位机记录和验收。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26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374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主要替代内容</w:t>
            </w:r>
          </w:p>
        </w:tc>
        <w:tc>
          <w:tcPr>
            <w:tcW w:type="dxa" w:w="1247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建议阶段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L1 操作硬件化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把鼠标点击变成实体动作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启停、模式选择、合分闸按钮、断路器位置、接地方式、急停、状态灯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V1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L2 测量硬件化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让学生使用真实表笔和端子完成检查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表笔识别、通断检测、PT 线电压、端子压差、相序结果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L3 故障与闭锁硬件化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让故障和合闸闭锁具有硬件反馈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E01-E04 故障矩阵、sync_ok、位置联锁、故障未修复闭锁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V2/V3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L4 实时测量与保护硬件化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支持更完整的同步和扩展实训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ΔU、Δf、Δφ、过流/欠压、波形采样、事件录波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V3/V4</w:t>
            </w:r>
          </w:p>
        </w:tc>
      </w:tr>
    </w:tbl>
    <w:p>
      <w:pPr>
        <w:spacing w:after="40"/>
      </w:pP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近期硬件模块</w:t>
            </w:r>
          </w:p>
        </w:tc>
        <w:tc>
          <w:tcPr>
            <w:tcW w:type="dxa" w:w="419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最低能力</w:t>
            </w:r>
          </w:p>
        </w:tc>
        <w:tc>
          <w:tcPr>
            <w:tcW w:type="dxa" w:w="283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规划意义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实体操作面板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两台机组启停、合分闸、位置、接地方式、急停和指示反馈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支撑学生真实操作，完成 V1 的体验替代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实体表笔与端子排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识别红黑表笔和端子节点，绑定测量读数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替代虚拟表笔节点，支撑第一、四步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PT 低压测量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PT1/PT2/PT3 的 AB、BC、CA 线电压测量与状态码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支撑第二步测量和故障现象呈现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相序与压差判断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ABC/ACB/异常/未知；对应相与异常压差区分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支撑第三、四步考核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故障注入矩阵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至少实现 E01-E04，掉电或通信中断时回到安全状态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让故障题库从纯软件变为可测量现象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同期闭锁信号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提供 sync_ok，必要时扩展 ΔU、Δf、Δφ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支撑第五步同步测试和合闸安全</w:t>
            </w:r>
          </w:p>
        </w:tc>
      </w:tr>
    </w:tbl>
    <w:p>
      <w:pPr>
        <w:spacing w:after="40"/>
      </w:pPr>
    </w:p>
    <w:p>
      <w:pPr>
        <w:spacing w:before="80" w:after="120" w:line="283" w:lineRule="auto"/>
      </w:pPr>
      <w:r>
        <w:rPr>
          <w:rFonts w:ascii="PingFang SC" w:hAnsi="PingFang SC" w:eastAsia="PingFang SC"/>
        </w:rPr>
        <w:t>统一接口原则：上位机通过 PlantAdapter 读取硬件快照并发送命令请求；PlantSnapshot 和 PlantCommand 只作为平台无关语义，不在规划版展开完整字段。后续 PLC、嵌入式或混合方案只需映射到同一语义层。</w:t>
      </w:r>
    </w:p>
    <w:p>
      <w:r>
        <w:br w:type="page"/>
      </w:r>
    </w:p>
    <w:p>
      <w:pPr>
        <w:pStyle w:val="Heading1"/>
        <w:keepNext/>
      </w:pPr>
      <w:r>
        <w:t>4. 安全底线与联锁要求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即使硬件侧采用低压等效信号，也必须按“学生会误插、通信会中断、软件会崩溃、控制器会复位”的前提设计。安全目标不只是不触电，还包括避免误合闸、短路、过流、端子误接、继电器误动作和设备损坏。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安全底线</w:t>
            </w:r>
          </w:p>
        </w:tc>
        <w:tc>
          <w:tcPr>
            <w:tcW w:type="dxa" w:w="408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必须满足的设计要求</w:t>
            </w:r>
          </w:p>
        </w:tc>
        <w:tc>
          <w:tcPr>
            <w:tcW w:type="dxa" w:w="317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验收关注点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低压隔离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所有学生可触及端子采用安全低压，或经隔离、限流、熔断保护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误插、跨相测量、端子短接时不损坏设备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急停独立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急停采用硬接线或等效独立安全回路，不依赖上位机和普通通信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急停后危险输出切断，未人工复位不得恢复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合闸双重闭锁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上位机流程闭锁只能作为第一层，下位机必须在输出前检查硬件条件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不同期、位置错误、急停、通信异常时不得合闸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失效安全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通信超时、下位机复位、掉电时 DO 默认断开，故障矩阵回到无危险状态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复位或断联期间不得出现合闸脉冲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反馈闭环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断路器、继电器、故障矩阵和关键测量通道必须有反馈或自检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上位机不能仅凭命令假定动作成功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维护隔离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维护模式允许单点测试，但禁止学生训练合闸流程和危险输出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维护状态清晰可见，测试动作可追踪</w:t>
            </w:r>
          </w:p>
        </w:tc>
      </w:tr>
    </w:tbl>
    <w:p>
      <w:pPr>
        <w:spacing w:after="40"/>
      </w:pPr>
    </w:p>
    <w:p>
      <w:pPr>
        <w:spacing w:before="80" w:after="120" w:line="283" w:lineRule="auto"/>
      </w:pPr>
      <w:r>
        <w:rPr>
          <w:rFonts w:ascii="PingFang SC" w:hAnsi="PingFang SC" w:eastAsia="PingFang SC"/>
        </w:rPr>
        <w:t>安全等级可简化为三条规划准则：提示只能教育，不能保护；软件可以拒绝命令，但不能作为最终保护；急停、限能、熔断、线圈电源和关键输出闭锁必须由硬件或下位机独立承担。</w:t>
      </w:r>
    </w:p>
    <w:p>
      <w:r>
        <w:br w:type="page"/>
      </w:r>
    </w:p>
    <w:p>
      <w:pPr>
        <w:pStyle w:val="Heading1"/>
        <w:keepNext/>
      </w:pPr>
      <w:r>
        <w:t>5. 分阶段实施路线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建议采用分阶段替代路线。V1/V2 优先解决“学生能真实操作、真实测量、真实看到故障现象”的问题；V3/V4 再扩展同步参数、闭锁深度、波形和高级实训。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26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357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83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验收重点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V1 操作硬件化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让实体输入驱动现有上位机流程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操作面板、断路器位置、基础反馈、表笔插孔识别、硬件/仿真模式切换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状态响应及时；日志正确；安全状态和通信稳定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 测量硬件化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让五步流程前三/四步具备真实测量基础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PT 低压测量、端子压差、通断检测、相序判断、E01-E04 故障矩阵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测量值可判定正常/异常；故障现象和题库一致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V3 同期与闭锁硬件化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让第五步同步测试和合闸闭锁可验收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sync_ok、ΔU/Δf/Δφ、断路器合闸闭锁、通信中断保护、故障未修复闭锁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不同期不得合闸；闭锁原因可记录；反馈与实际一致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V4 高级扩展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支持高级教学、科研或综合实训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电流测量、波形上传、事件录波、低压真实并联系统或 HIL 接入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高级数据稳定，扩展不破坏 V1-V3 基础流程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近期推进重点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优先冻结 V1/V2：实体面板、表笔端子、PT 测量、相序、端子压差和 E01-E04 的硬件等效形式。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暂不急于选择 PLC 或嵌入式；先确认 IO 数量、测量能力、刷新周期、安全闭锁和通信语义。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上位机先建立统一适配层，避免五步教学服务直接依赖 PLC 地址、Modbus 寄存器或串口字段。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每完成一个阶段，都用教学场景验收，而不是只验单个 IO 点是否动作。</w:t>
      </w:r>
    </w:p>
    <w:p>
      <w:r>
        <w:br w:type="page"/>
      </w:r>
    </w:p>
    <w:p>
      <w:pPr>
        <w:pStyle w:val="Heading1"/>
        <w:keepNext/>
      </w:pPr>
      <w:r>
        <w:t>6. 下一步设计输入与验收重点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进入硬件详细设计前，需要把规划项转化为可画图、可接线、可编码、可验收的输入清单。以下内容建议先冻结，再比较 PLC、嵌入式或混合方案的成本和风险。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设计输入</w:t>
            </w:r>
          </w:p>
        </w:tc>
        <w:tc>
          <w:tcPr>
            <w:tcW w:type="dxa" w:w="4706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需要冻结的内容</w:t>
            </w:r>
          </w:p>
        </w:tc>
        <w:tc>
          <w:tcPr>
            <w:tcW w:type="dxa" w:w="243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直接产物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IO 点表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按钮、旋钮、触点、继电器、灯、蜂鸣器、表笔插孔的编号、常开/常闭和地址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PLC/嵌入式 IO 清单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端子排图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LOOP、PT1/PT2/PT3、黑盒、N/G、测试公共端的名称、位置和安全标识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端子排与面板布局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测量通道表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电压、压差、通断、相序、同步参数的量程、比例、校准和保护方式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采样/变送器选型依据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故障矩阵图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E01-E04 的继电器动作、正常/故障/掉电状态和可维修方式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故障板原理图和接线表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安全联锁表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合闸、启动、故障注入、维护测试分别需要满足的硬件条件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下位机逻辑和硬接线联锁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通信映射表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PlantSnapshot/PlantCommand 的基础语义如何映射到实际协议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适配层字段表和驱动接口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验收用例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功能、安全、测量、通信和整体验收的步骤与通过标准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阶段验收记录模板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规划结论</w:t>
      </w:r>
    </w:p>
    <w:p>
      <w:pPr>
        <w:spacing w:before="0" w:after="40" w:line="283" w:lineRule="auto"/>
      </w:pPr>
      <w:r>
        <w:rPr>
          <w:rFonts w:ascii="PingFang SC" w:hAnsi="PingFang SC" w:eastAsia="PingFang SC"/>
        </w:rPr>
        <w:t>本项目下一阶段的关键，不是立即决定 PLC 或嵌入式，而是先冻结软硬边界、低压安全原则、硬件替代层级、统一通信语义和 V1/V2 的近期落地范围。只要这些输入稳定，后续无论选择 PLC、嵌入式还是混合方案，都可以复用现有上位机教学系统，并逐步把虚拟操作替换成真实硬件实训。</w:t>
      </w:r>
    </w:p>
    <w:sectPr w:rsidR="00FC693F" w:rsidRPr="0006063C" w:rsidSect="00034616">
      <w:footerReference w:type="default" r:id="rId9"/>
      <w:pgSz w:w="12240" w:h="15840"/>
      <w:pgMar w:top="1049" w:right="1134" w:bottom="99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666666"/>
        <w:sz w:val="16"/>
      </w:rPr>
      <w:t>三相电并网仿真教学系统硬件替代计划（精简版）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SC" w:hAnsi="PingFang SC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三相电并网仿真教学系统未来硬件替代计划（精简版）</dc:title>
  <dc:subject>硬件替代规划</dc:subject>
  <dc:creator>python-docx</dc:creator>
  <cp:keywords>三相电, 并网, 仿真教学, 硬件替代, 软硬结合</cp:keywords>
  <dc:description>基于软硬结合需求定义初稿精简整理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