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Výsledný protokol genetického vyšetření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000"/>
        <w:gridCol w:w="5000"/>
      </w:tblGrid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Jan Novák</w:t>
            </w:r>
          </w:p>
        </w:tc>
      </w:tr>
      <w:tr>
        <w:tc>
          <w:tcPr>
            <w:tcW w:type="dxa" w:w="4320"/>
          </w:tcPr>
          <w:p>
            <w:r>
              <w:t>Rodné číslo:</w:t>
            </w:r>
          </w:p>
        </w:tc>
        <w:tc>
          <w:tcPr>
            <w:tcW w:type="dxa" w:w="4320"/>
          </w:tcPr>
          <w:p>
            <w:r>
              <w:t>123456/7890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2024-02-10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