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内容运营工作台</w:t>
        <w:br/>
        <w:t>内网域名及部署申请报告</w:t>
      </w:r>
    </w:p>
    <w:p>
      <w:r>
        <w:t>申请部门：【填写】    申请人：【填写】    技术负责人：【填写】</w:t>
      </w:r>
    </w:p>
    <w:p>
      <w:r>
        <w:t>提交对象：公司 IT 及信息安全管理部门    申请日期：2026年9月30日</w:t>
      </w:r>
    </w:p>
    <w:p>
      <w:r>
        <w:t>申请为内容运营工作台分配公司内部子域名及内网部署资源，使获授权员工能够通过统一 HTTPS 地址使用系统。访问入口仅向公司指定内网开放，不提供公网访问；外部采集和 AI 服务按审批后的出站白名单调用。</w:t>
      </w:r>
    </w:p>
    <w:p>
      <w:pPr>
        <w:pStyle w:val="Heading1"/>
        <w:pageBreakBefore w:val="0"/>
        <w:spacing w:line="360" w:lineRule="exact"/>
      </w:pPr>
      <w:r>
        <w:t>一  项目用途与申请必要性</w:t>
      </w:r>
    </w:p>
    <w:p>
      <w:r>
        <w:t>项目用于抖音及 B站内容采集、视频转写、账号与项目风格整理、文案及封面辅助生成、热点选题，以及账号报价与毛利数据维护。现有系统以本地工作台方式运行，主要业务数据保存在指定资料库目录。</w:t>
      </w:r>
    </w:p>
    <w:p>
      <w:r>
        <w:t>统一内网入口可减少员工逐台配置运行环境的工作，便于集中维护、备份和控制访问范围。首期采用限定人员试用，实际提效和承载能力在试运行中评估，不预设已验证的收益或并发指标。</w:t>
      </w:r>
    </w:p>
    <w:p>
      <w:pPr>
        <w:pStyle w:val="Heading1"/>
        <w:pageBreakBefore w:val="0"/>
        <w:spacing w:line="360" w:lineRule="exact"/>
      </w:pPr>
      <w:r>
        <w:t>二  申请资源与使用范围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9EDF2"/>
          </w:tcPr>
          <w:p>
            <w:pPr>
              <w:spacing w:after="0" w:line="270" w:lineRule="exact"/>
            </w:pPr>
            <w:r>
              <w:rPr>
                <w:b/>
                <w:sz w:val="20"/>
              </w:rPr>
              <w:t>申请项目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9EDF2"/>
          </w:tcPr>
          <w:p>
            <w:pPr>
              <w:spacing w:after="0" w:line="270" w:lineRule="exact"/>
            </w:pPr>
            <w:r>
              <w:rPr>
                <w:b/>
                <w:sz w:val="20"/>
              </w:rPr>
              <w:t>申请内容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内网域名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申请公司现有域名下的内部子域名，例如 content.company.example（仅为占位示例，实际名称由 IT 分配）。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解析与证书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公司内部 DNS 解析至内网服务地址；配置终端信任的 HTTPS 证书及续期机制。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部署资源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优先使用公司管理的主机或虚拟机。试用估算为 4 核 CPU、8 GB 内存、100 GB 持久化磁盘；最终规格由 IT 结合数据量及试运行结果核定。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网络与身份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入口仅允许指定公司内网网段；接入公司 SSO 或批准的身份认证网关，并限定获授权人员。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备份与运维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提供资料库备份位置、恢复机制及必要日志存储；明确业务负责人和 IT 运维联系人。</w:t>
            </w:r>
          </w:p>
        </w:tc>
      </w:tr>
    </w:tbl>
    <w:p>
      <w:pPr>
        <w:spacing w:after="0"/>
      </w:pPr>
    </w:p>
    <w:p>
      <w:r>
        <w:t>预计使用人数：【填写】；开放部门：【填写】；计划试运行时间：【填写】。不申请独立公网 IP，也不申请向互联网开放的端口或公网访问入口。</w:t>
      </w:r>
    </w:p>
    <w:p>
      <w:pPr>
        <w:pStyle w:val="Heading1"/>
        <w:pageBreakBefore/>
        <w:spacing w:line="360" w:lineRule="exact"/>
      </w:pPr>
      <w:r>
        <w:t>三  内网部署与网络方案</w:t>
      </w:r>
    </w:p>
    <w:p>
      <w:r>
        <w:t>访问链路：公司内网终端 → 内部 DNS → HTTPS 反向代理及身份认证 → 工作台应用 → 持久化资料库。</w:t>
      </w:r>
    </w:p>
    <w:p>
      <w:r>
        <w:t>应用采用 Next.js 与 Node.js，当前项目要求 Node.js 22.13.0 或以上。使用生产构建和受管理的常驻进程；对外提供 HTTPS 443，应用默认 3000 端口仅允许本机反向代理访问，分机部署时仅放行代理所在主机。</w:t>
      </w:r>
    </w:p>
    <w:p>
      <w:r>
        <w:t>由防火墙、路由及代理共同限制访问来源。内部 DNS 只承担解析功能，访问控制需覆盖网页、API、文件下载和后台任务接口；普通互联网及未获授权的内部人员不得访问。</w:t>
      </w:r>
    </w:p>
    <w:p>
      <w:r>
        <w:t>部署采用单个应用实例和独立持久化数据目录，沿用现有文件存储、锁和版本校验。首期不采用多个进程或多台主机同时写入同一资料库；多人试用共享经批准的资料，涉及部门隔离或个人权限时另行补齐并验证。</w:t>
      </w:r>
    </w:p>
    <w:p>
      <w:r>
        <w:t>正式环境不沿用个人 Tailscale 远程入口、Funnel 公网能力桥或公开 Sites 转发路径；上线前核查并关闭指向正式应用及资料库的其他可访问入口。</w:t>
      </w:r>
    </w:p>
    <w:p>
      <w:pPr>
        <w:pStyle w:val="Heading1"/>
        <w:pageBreakBefore w:val="0"/>
        <w:spacing w:line="360" w:lineRule="exact"/>
      </w:pPr>
      <w:r>
        <w:t>四  外部服务出站访问申请</w:t>
      </w:r>
    </w:p>
    <w:p>
      <w:r>
        <w:t>“仅内网访问”指工作台的用户访问入口。部分业务仍需服务器主动访问外部服务，申请按功能开通最小范围的出站权限；若不批准，停用相应功能，并保留不依赖外网的资料管理与编辑能力。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143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9EDF2"/>
          </w:tcPr>
          <w:p>
            <w:pPr>
              <w:spacing w:after="0" w:line="270" w:lineRule="exact"/>
            </w:pPr>
            <w:r>
              <w:rPr>
                <w:b/>
                <w:sz w:val="20"/>
              </w:rPr>
              <w:t>服务类别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9EDF2"/>
          </w:tcPr>
          <w:p>
            <w:pPr>
              <w:spacing w:after="0" w:line="270" w:lineRule="exact"/>
            </w:pPr>
            <w:r>
              <w:rPr>
                <w:b/>
                <w:sz w:val="20"/>
              </w:rPr>
              <w:t>用途与数据边界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内容平台及资讯源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读取获授权账号信息、公开内容、媒体、评论及资讯。实际域名和媒体 CDN 由启用功能清单确定。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语音转写服务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调用获批准的火山引擎 ASR，发送待转写音频；端点、凭证及数据处理条件经审查后启用。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AI 文本及图片服务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发送必要的提示词、素材或图片。仅使用公司批准的模型服务或内部模型网关，备用节点同样纳入审批。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飞书及企业微信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20"/>
              </w:rPr>
              <w:t>按权限读取指定支持文档或账号表。文档发布属于独立写入功能，仅在获得授权后启用。</w:t>
            </w:r>
          </w:p>
        </w:tc>
      </w:tr>
    </w:tbl>
    <w:p>
      <w:pPr>
        <w:spacing w:after="0"/>
      </w:pPr>
    </w:p>
    <w:p>
      <w:r>
        <w:t>上线前提交实际服务域名、端口、用途、账号权限和传输数据类别清单，由 IT 审批；不申请无限制出网。依赖安装及版本更新优先使用公司批准的软件源。</w:t>
      </w:r>
    </w:p>
    <w:p>
      <w:r>
        <w:t>采集依赖 OpenCLI、浏览器及登录状态，音视频处理依赖 FFmpeg。迁移到服务器前须验证目标环境、浏览器运行方式和授权可用性，不能仅凭域名接通判定全部业务可用。</w:t>
      </w:r>
    </w:p>
    <w:p>
      <w:pPr>
        <w:pStyle w:val="Heading1"/>
        <w:pageBreakBefore/>
        <w:spacing w:line="360" w:lineRule="exact"/>
      </w:pPr>
      <w:r>
        <w:t>五  数据保护与上线条件</w:t>
      </w:r>
    </w:p>
    <w:p>
      <w:r>
        <w:rPr>
          <w:b/>
        </w:rPr>
        <w:t>访问鉴权：</w:t>
      </w:r>
      <w:r>
        <w:t>公司网络限制与员工身份认证同时生效。当前本地共享工作台的页面模式限制、能力桥令牌不能代替员工登录及业务权限。上线前补齐入口鉴权，阻止绕过代理直连，覆盖所有业务 API 和下载路径。</w:t>
      </w:r>
    </w:p>
    <w:p>
      <w:r>
        <w:rPr>
          <w:b/>
        </w:rPr>
        <w:t>资料保护：</w:t>
      </w:r>
      <w:r>
        <w:t>账号、转写稿、风格卡、草稿及版本、封面素材、互动记录、报价和毛利数据均纳入资料库保护。迁移须经业务负责人确认并先备份，保留历史与引用关系；恢复演练不得直接覆盖正式数据。</w:t>
      </w:r>
    </w:p>
    <w:p>
      <w:r>
        <w:rPr>
          <w:b/>
        </w:rPr>
        <w:t>外部数据传输：</w:t>
      </w:r>
      <w:r>
        <w:t>资料库主副本保存在公司管理环境中，但转写和 AI 调用可能传输音频及素材正文。未经批准不得向外部服务发送公司敏感信息、未脱敏个人信息或保密资料；不能将内网部署等同于全部数据不出公司。</w:t>
      </w:r>
    </w:p>
    <w:p>
      <w:r>
        <w:rPr>
          <w:b/>
        </w:rPr>
        <w:t>凭证与日志：</w:t>
      </w:r>
      <w:r>
        <w:t>模型密钥、平台登录状态和文档凭证由受控配置或密钥设施管理，不进入代码、前端或交付包。接入网关记录访问与鉴权信息，应用记录任务状态及错误；日志避免保存密钥和素材正文，留存期限遵循公司制度。</w:t>
      </w:r>
    </w:p>
    <w:p>
      <w:r>
        <w:rPr>
          <w:b/>
        </w:rPr>
        <w:t>备份与恢复：</w:t>
      </w:r>
      <w:r>
        <w:t>试运行阶段拟每日备份资料库及必要配置，备份保存在隔离位置并限制读取权限；保留周期、可接受数据损失和恢复时限由业务与 IT 确认。程序回滚与数据恢复分别处理。</w:t>
      </w:r>
    </w:p>
    <w:p>
      <w:pPr>
        <w:pStyle w:val="Heading1"/>
        <w:pageBreakBefore w:val="0"/>
        <w:spacing w:line="360" w:lineRule="exact"/>
      </w:pPr>
      <w:r>
        <w:t>六  实施安排与验收标准</w:t>
      </w:r>
    </w:p>
    <w:p>
      <w:r>
        <w:t>实施安排：审批域名、内网网段、人员范围及出站清单后，完成环境兼容验证、备份和经授权的数据迁移，配置 HTTPS 与鉴权；限定人员试运行，再由业务负责人和 IT 联合验收。时间及费用在资源确认后核定。</w:t>
      </w:r>
    </w:p>
    <w:p>
      <w:r>
        <w:t>验收时应确认以下结果：</w:t>
      </w:r>
    </w:p>
    <w:p>
      <w:pPr>
        <w:spacing w:after="80"/>
      </w:pPr>
      <w:r>
        <w:t>1. 指定内网终端可通过域名访问，HTTPS 证书有效且受信任；普通互联网无法访问。</w:t>
      </w:r>
    </w:p>
    <w:p>
      <w:pPr>
        <w:spacing w:after="80"/>
      </w:pPr>
      <w:r>
        <w:t>2. 未登录及未获授权用户无法访问页面、业务 API 和下载；应用端口及其他转发入口不能绕过控制。</w:t>
      </w:r>
    </w:p>
    <w:p>
      <w:pPr>
        <w:spacing w:after="80"/>
      </w:pPr>
      <w:r>
        <w:t>3. 获批准的核心业务在目标环境运行正常，未获批准的外部能力关闭，失败提示可见。</w:t>
      </w:r>
    </w:p>
    <w:p>
      <w:pPr>
        <w:spacing w:after="80"/>
      </w:pPr>
      <w:r>
        <w:t>4. 并发试用、长任务和服务重启不导致已保存资料丢失；多人使用范围与权限边界经确认。</w:t>
      </w:r>
    </w:p>
    <w:p>
      <w:pPr>
        <w:spacing w:after="80"/>
      </w:pPr>
      <w:r>
        <w:t>5. 完成一次隔离环境备份恢复验证，确认资料及历史版本可用，明确故障响应和回滚责任。</w:t>
      </w:r>
    </w:p>
    <w:p>
      <w:pPr>
        <w:pStyle w:val="Heading1"/>
        <w:pageBreakBefore w:val="0"/>
        <w:spacing w:line="360" w:lineRule="exact"/>
      </w:pPr>
      <w:r>
        <w:t>七  审批请求</w:t>
      </w:r>
    </w:p>
    <w:p>
      <w:r>
        <w:t>请批准本项目内网域名、部署资源及限定范围试运行，并由 IT 协助落实 DNS、证书、身份认证、访问策略和备份。外部服务权限及调用费用单独核定；满足上述上线条件后，再扩大使用范围。</w:t>
      </w:r>
    </w:p>
    <w:p>
      <w:r>
        <w:t>业务负责人：【填写】    IT 对接人：【填写】    审批意见：【填写】</w:t>
      </w:r>
    </w:p>
    <w:sectPr w:rsidR="00FC693F" w:rsidRPr="0006063C" w:rsidSect="00034616">
      <w:footerReference w:type="default" r:id="rId9"/>
      <w:pgSz w:w="11906" w:h="16838"/>
      <w:pgMar w:top="1191" w:right="1304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280" w:lineRule="exact" w:after="100"/>
    </w:pPr>
    <w:rPr>
      <w:rFonts w:ascii="Arial" w:hAnsi="Arial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  <w:snapToGrid w:val="0"/>
    </w:pPr>
    <w:rPr>
      <w:rFonts w:ascii="Arial" w:hAnsi="Arial" w:eastAsia="PingFang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="Arial" w:hAnsi="Arial" w:eastAsia="PingFang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540" w:lineRule="exact"/>
      <w:contextualSpacing/>
      <w:snapToGrid w:val="0"/>
    </w:pPr>
    <w:rPr>
      <w:rFonts w:ascii="Arial" w:hAnsi="Arial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内容运营工作台内网域名及部署申请报告</dc:title>
  <dc:subject>公司内部域名及部署资源申请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