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  <w:pBdr>
          <w:left w:val="single" w:sz="18" w:space="7" w:color="2E74B5"/>
        </w:pBdr>
      </w:pPr>
      <w:r>
        <w:rPr>
          <w:rFonts w:ascii="Calibri" w:hAnsi="Calibri" w:eastAsia="Microsoft YaHei"/>
          <w:b/>
          <w:color w:val="2E74B5"/>
          <w:sz w:val="18"/>
        </w:rPr>
        <w:t>PRODUCT SOLUTION</w:t>
      </w:r>
    </w:p>
    <w:p>
      <w:pPr>
        <w:keepNext/>
        <w:spacing w:after="120"/>
      </w:pPr>
      <w:r>
        <w:rPr>
          <w:rFonts w:ascii="Calibri" w:hAnsi="Calibri" w:eastAsia="Microsoft YaHei"/>
          <w:b/>
          <w:color w:val="0B2545"/>
          <w:sz w:val="54"/>
        </w:rPr>
        <w:t>素材库优化方案</w:t>
      </w:r>
    </w:p>
    <w:p>
      <w:pPr>
        <w:keepNext/>
        <w:spacing w:after="360"/>
      </w:pPr>
      <w:r>
        <w:rPr>
          <w:rFonts w:ascii="Calibri" w:hAnsi="Calibri" w:eastAsia="Microsoft YaHei"/>
          <w:color w:val="5B6573"/>
          <w:sz w:val="26"/>
        </w:rPr>
        <w:t>面向生成图片与视频的项目级资产中心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150"/>
        <w:gridCol w:w="3250"/>
        <w:gridCol w:w="1150"/>
        <w:gridCol w:w="3810"/>
      </w:tblGrid>
      <w:tr>
        <w:trPr>
          <w:tblHeader w:val="true"/>
        </w:trP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版本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t>v1.1</w:t>
            </w:r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状态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已确认</w:t>
            </w:r>
          </w:p>
        </w:tc>
      </w:tr>
      <w:tr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负责人</w:t>
            </w:r>
          </w:p>
        </w:tc>
        <w:tc>
          <w:tcPr>
            <w:tcW w:type="dxa" w:w="32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产品 / 设计 / 研发</w:t>
            </w:r>
          </w:p>
        </w:tc>
        <w:tc>
          <w:tcPr>
            <w:tcW w:type="dxa" w:w="11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/>
                <w:color w:val="5B6573"/>
                <w:sz w:val="19"/>
              </w:rPr>
              <w:t>适用范围</w:t>
            </w:r>
          </w:p>
        </w:tc>
        <w:tc>
          <w:tcPr>
            <w:tcW w:type="dxa" w:w="381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/>
            <w:r>
              <w:rPr>
                <w:rFonts w:ascii="Calibri" w:hAnsi="Calibri" w:eastAsia="Microsoft YaHei"/>
                <w:b w:val="0"/>
                <w:color w:val="0B2545"/>
                <w:sz w:val="19"/>
              </w:rPr>
              <w:t>unicomp · 项目素材库</w:t>
            </w:r>
          </w:p>
        </w:tc>
      </w:tr>
    </w:tbl>
    <w:p>
      <w:pPr>
        <w:spacing w:after="4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8EEF5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方案结论 素材库只管理成功生成且可复用的图片和视频；以别名、项目共享标签和手动素材组完成查找与复用，并通过拖拽把素材快照送入具体生产环境。任务过程与失败记录继续由任务日志负责。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1. 背景与定位</w:t>
      </w:r>
    </w:p>
    <w:p>
      <w:r>
        <w:rPr>
          <w:rFonts w:ascii="Calibri" w:hAnsi="Calibri" w:eastAsia="Microsoft YaHei"/>
        </w:rPr>
        <w:t>当前工作台已经具备图片、视频生成结果落盘、素材列表、预览、打开位置、重命名与删除等基础能力，但素材仍以文件路径和类型为主要识别信息，缺少面向内容复用的组织方式。随着同一项目中的角色、场景和镜头素材持续增加，用户需要从“生成结果列表”升级到“可查找、可组合、可直接投入生产的资产中心”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产品定位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项目级的生成素材资产中心：让用户清楚地查看素材、按自己的方式区分素材，并以最短路径将单个素材或一组素材投入后续生产。</w:t>
            </w:r>
          </w:p>
        </w:tc>
      </w:tr>
    </w:tbl>
    <w:p>
      <w:pPr>
        <w:spacing w:after="0"/>
      </w:pPr>
    </w:p>
    <w:p>
      <w:pPr>
        <w:pStyle w:val="Heading1"/>
      </w:pPr>
      <w:r>
        <w:t>2. 目标与设计原则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4500"/>
        <w:gridCol w:w="33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目标</w:t>
            </w:r>
          </w:p>
        </w:tc>
        <w:tc>
          <w:tcPr>
            <w:tcW w:type="dxa" w:w="4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产品表现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判断标准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看得清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图片和视频统一浏览，快速预览并显示别名、标签、时间与来源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无需打开文件目录即可判断素材是否可用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找得到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搜索同时匹配别名、文件名和标签名，并支持类型、素材组与时间筛选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用户能够用自己的命名和分类快速定位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用得快</w:t>
            </w:r>
          </w:p>
        </w:tc>
        <w:tc>
          <w:tcPr>
            <w:tcW w:type="dxa" w:w="4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支持单个、多选和素材组拖拽到生产区域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拖入后可调整用途和顺序，无需复制文件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可维护</w:t>
            </w:r>
          </w:p>
        </w:tc>
        <w:tc>
          <w:tcPr>
            <w:tcW w:type="dxa" w:w="4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标签项目共享、素材组手动维护、删除进入回收站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组织规则稳定，误删可恢复</w:t>
            </w:r>
          </w:p>
        </w:tc>
      </w:tr>
    </w:tbl>
    <w:p>
      <w:pPr>
        <w:spacing w:after="0"/>
      </w:pPr>
    </w:p>
    <w:p>
      <w:pPr>
        <w:pStyle w:val="ListBullet"/>
        <w:keepLines/>
      </w:pPr>
      <w:r>
        <w:rPr>
          <w:rFonts w:ascii="Calibri" w:hAnsi="Calibri" w:eastAsia="Microsoft YaHei"/>
        </w:rPr>
        <w:t>素材库与任务日志分离：素材库不展示处理中、失败或取消的任务。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别名与文件名分离：别名用于用户识别和搜索，不修改磁盘文件路径。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轻量组织优先：标签只描述素材；素材组保存用户明确加入的素材集合，不建立复杂目录树。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引用而非复制：拖入生产环境只传递素材引用，原文件保持单份。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手动编组、静态使用：素材组成员由用户拖入或多选加入；拖入生产环境后形成当次引用快照。</w:t>
      </w:r>
    </w:p>
    <w:p>
      <w:pPr>
        <w:pStyle w:val="Heading1"/>
      </w:pPr>
      <w:r>
        <w:t>3. 已确认的产品规则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260"/>
      </w:tblGrid>
      <w:tr>
        <w:trPr>
          <w:tblHeader w:val="true"/>
        </w:trPr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决策项</w:t>
            </w:r>
          </w:p>
        </w:tc>
        <w:tc>
          <w:tcPr>
            <w:tcW w:type="dxa" w:w="72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确认规则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入库范围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仅成功生成并已完成本地落盘的图片或视频自动进入素材库。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素材粒度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一次生成多个结果时，每个结果均为独立素材。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素材命名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仅提供别名，不增加备注字段；未设置时显示可读的默认名称。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标签作用域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标签属于项目，项目内成员均可查看、创建和使用。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标签管理权限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标签创建者与项目管理员可重命名或删除标签。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素材组由用户明确加入的多个素材组成。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集合维护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用户可拖入素材或将当前多选素材加入；移除成员不修改素材本身。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拖拽顺序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按创建时间从早到晚排列；进入生产环境后可继续调整。</w:t>
            </w:r>
          </w:p>
        </w:tc>
      </w:tr>
      <w:tr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来源关系</w:t>
            </w:r>
          </w:p>
        </w:tc>
        <w:tc>
          <w:tcPr>
            <w:tcW w:type="dxa" w:w="72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任务日志可定位素材，素材详情可返回来源任务；不额外展示使用次数。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删除规则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先进入回收站；存在引用时二次确认，彻底删除作为独立操作。</w:t>
            </w:r>
          </w:p>
        </w:tc>
      </w:tr>
      <w:tr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工作区并行打开</w:t>
            </w:r>
          </w:p>
        </w:tc>
        <w:tc>
          <w:tcPr>
            <w:tcW w:type="dxa" w:w="72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素材库是独立工作区面板，可与其他项目资料同时打开；布局按项目在本地保存。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4. 信息架构与页面结构</w:t>
      </w:r>
    </w:p>
    <w:p>
      <w:r>
        <w:t>素材库作为独立工作区面板进入，不与生成任务状态混排。用户点击一级菜单“素材库”后打开或激活唯一的素材库面板，保留当前已打开的其他项目资料页面，默认展示全部未删除素材。页面以高密度浏览和重复操作为主，采用顶部搜索与筛选工具栏、中央素材网格、右侧详情面板的单页面结构；素材库内部不再增加第二层侧边栏或独立导航页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200"/>
        <w:gridCol w:w="34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区域</w:t>
            </w:r>
          </w:p>
        </w:tc>
        <w:tc>
          <w:tcPr>
            <w:tcW w:type="dxa" w:w="42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主要内容</w:t>
            </w:r>
          </w:p>
        </w:tc>
        <w:tc>
          <w:tcPr>
            <w:tcW w:type="dxa" w:w="34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核心动作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顶部工具栏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别名/文件名/标签名搜索、图片/视频类型、时间、素材组、排序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清空筛选、管理素材组、多选、批量打标签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中央网格</w:t>
            </w:r>
          </w:p>
        </w:tc>
        <w:tc>
          <w:tcPr>
            <w:tcW w:type="dxa" w:w="42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固定尺寸缩略图、别名、标签、创建时间</w:t>
            </w:r>
          </w:p>
        </w:tc>
        <w:tc>
          <w:tcPr>
            <w:tcW w:type="dxa" w:w="34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选择、预览、拖拽、批量操作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右侧详情</w:t>
            </w:r>
          </w:p>
        </w:tc>
        <w:tc>
          <w:tcPr>
            <w:tcW w:type="dxa" w:w="42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大图或视频预览、别名、标签、文件信息、来源任务</w:t>
            </w:r>
          </w:p>
        </w:tc>
        <w:tc>
          <w:tcPr>
            <w:tcW w:type="dxa" w:w="34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改别名、改标签、打开位置、进入来源任务</w:t>
            </w:r>
          </w:p>
        </w:tc>
      </w:tr>
    </w:tbl>
    <w:p>
      <w:pPr>
        <w:spacing w:after="0"/>
      </w:pPr>
    </w:p>
    <w:p>
      <w:r>
        <w:t>页面筛选结构：素材库 = 搜索（别名/文件名/标签名） + 类型下拉（全部素材/图片/视频） + 素材组 + 时间 + 排序。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7F8FA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r>
              <w:t>素材库：搜索（别名 / 文件名 / 标签名） + 类型下拉（全部素材 / 图片 / 视频） + 素材组 + 时间 + 排序</w:t>
            </w:r>
          </w:p>
        </w:tc>
      </w:tr>
    </w:tbl>
    <w:p>
      <w:r>
        <w:t>导航与查询规则：</w:t>
      </w:r>
    </w:p>
    <w:p>
      <w:pPr>
        <w:pStyle w:val="ListBullet"/>
      </w:pPr>
      <w:r>
        <w:t>默认展示项目内所有未删除的图片和视频；选择“图片”或“视频”时，同一网格只展示对应类型，并可继续叠加素材组、时间与关键字条件。</w:t>
      </w:r>
    </w:p>
    <w:p>
      <w:pPr>
        <w:pStyle w:val="ListBullet"/>
      </w:pPr>
      <w:r>
        <w:t>类型使用单选下拉菜单，默认展示“全部素材”；选择“图片”或“视频”时复用相同的搜索、素材组、时间、排序和视图能力，用户仍可继续叠加其他筛选条件。</w:t>
      </w:r>
    </w:p>
    <w:p>
      <w:pPr>
        <w:pStyle w:val="ListBullet"/>
      </w:pPr>
      <w:r>
        <w:t>顶部不提供单独的“标签”筛选控件；搜索框同时匹配素材别名、物理文件名和标签名称。标签仍用于素材详情编辑和批量打标签，标签管理通过详情区域的独立入口完成。</w:t>
      </w:r>
    </w:p>
    <w:p>
      <w:pPr>
        <w:pStyle w:val="ListBullet"/>
      </w:pPr>
      <w:r>
        <w:t>“素材组”是手动维护的素材集合，同时提供创建、编辑和删除；选择素材组后，同一网格展示集合成员，素材组仍可直接拖拽。</w:t>
      </w:r>
    </w:p>
    <w:p>
      <w:pPr>
        <w:pStyle w:val="ListBullet"/>
      </w:pPr>
      <w:r>
        <w:t>回收站通过页面工具栏入口切换删除状态，但仍使用同一页面结构和筛选控件，不建立素材库内部侧边栏。图片在卡片和详情中完整显示、不裁切主体；视频在卡片和详情中提供页内播放控制。</w:t>
      </w:r>
    </w:p>
    <w:p>
      <w:pPr>
        <w:pStyle w:val="ListBullet"/>
      </w:pPr>
      <w:r>
        <w:t>生成图片直接显示预览；角色/场景图片、镜头图片及参考图、生成结果和素材详情中的预览均完整显示画面。点击图片在当前页面放大查看，可通过关闭按钮、点击遮罩或 Esc 返回；一次生成多张图片时逐张预览。</w:t>
      </w:r>
    </w:p>
    <w:p>
      <w:pPr>
        <w:spacing w:after="0"/>
      </w:pPr>
    </w:p>
    <w:p>
      <w:pPr>
        <w:pStyle w:val="Heading2"/>
      </w:pPr>
      <w:r>
        <w:t>4.1 工作区并行打开 2026-10-13</w:t>
      </w:r>
    </w:p>
    <w:p>
      <w:pPr>
        <w:pStyle w:val="ListBullet"/>
      </w:pPr>
      <w:r>
        <w:rPr>
          <w:rFonts w:ascii="Calibri" w:hAnsi="Calibri" w:eastAsia="Microsoft YaHei"/>
        </w:rPr>
        <w:t>素材库可与小说、剧本、角色与场景、场次与镜头、任务日志等项目资料同时打开。打开素材库时保留当前资料面板及其编辑上下文；再次点击素材库只激活已有面板。</w:t>
      </w:r>
    </w:p>
    <w:p>
      <w:pPr>
        <w:pStyle w:val="ListBullet"/>
      </w:pPr>
      <w:r>
        <w:rPr>
          <w:rFonts w:ascii="Calibri" w:hAnsi="Calibri" w:eastAsia="Microsoft YaHei"/>
        </w:rPr>
        <w:t>素材库使用统一工作区面板交互，支持并排停靠、拖拽排序、浮动、关闭和通过一级菜单重新打开。</w:t>
      </w:r>
    </w:p>
    <w:p>
      <w:pPr>
        <w:pStyle w:val="ListBullet"/>
      </w:pPr>
      <w:r>
        <w:rPr>
          <w:rFonts w:ascii="Calibri" w:hAnsi="Calibri" w:eastAsia="Microsoft YaHei"/>
        </w:rPr>
        <w:t>面板布局按项目保存在本地，并兼容不含素材库面板的旧布局记录。切换项目时恢复目标项目布局，并重置素材库的搜索、筛选、选中素材和详情等界面状态，避免沿用前一项目的数据。</w:t>
      </w:r>
    </w:p>
    <w:p>
      <w:pPr>
        <w:pStyle w:val="ListBullet"/>
      </w:pPr>
      <w:r>
        <w:rPr>
          <w:rFonts w:ascii="Calibri" w:hAnsi="Calibri" w:eastAsia="Microsoft YaHei"/>
        </w:rPr>
        <w:t>素材库正文仍为唯一素材页面，不新增内部第二层侧边栏。本地素材文件和项目数据继续由本地项目管理，GitHub 只负责源代码与评审。</w:t>
      </w:r>
    </w:p>
    <w:p>
      <w:pPr>
        <w:pStyle w:val="Heading1"/>
      </w:pPr>
      <w:r>
        <w:t>5. 核心对象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500"/>
        <w:gridCol w:w="3900"/>
        <w:gridCol w:w="3960"/>
      </w:tblGrid>
      <w:tr>
        <w:trPr>
          <w:tblHeader w:val="true"/>
        </w:trPr>
        <w:tc>
          <w:tcPr>
            <w:tcW w:type="dxa" w:w="15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对象</w:t>
            </w:r>
          </w:p>
        </w:tc>
        <w:tc>
          <w:tcPr>
            <w:tcW w:type="dxa" w:w="39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9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关键属性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成功生成并在项目中可用的单个图片或视频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ID、类型、别名、路径、创建时间、来源任务、删除状态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标签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用户创建的项目级描述词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名称、创建者、创建时间、关联素材</w:t>
            </w:r>
          </w:p>
        </w:tc>
      </w:tr>
      <w:tr>
        <w:tc>
          <w:tcPr>
            <w:tcW w:type="dxa" w:w="15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素材组</w:t>
            </w:r>
          </w:p>
        </w:tc>
        <w:tc>
          <w:tcPr>
            <w:tcW w:type="dxa" w:w="39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保存的一组素材引用</w:t>
            </w:r>
          </w:p>
        </w:tc>
        <w:tc>
          <w:tcPr>
            <w:tcW w:type="dxa" w:w="39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名称、素材集合、创建者、更新时间</w:t>
            </w:r>
          </w:p>
        </w:tc>
      </w:tr>
      <w:tr>
        <w:tc>
          <w:tcPr>
            <w:tcW w:type="dxa" w:w="15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拖拽快照</w:t>
            </w:r>
          </w:p>
        </w:tc>
        <w:tc>
          <w:tcPr>
            <w:tcW w:type="dxa" w:w="39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拖拽开始时解析出的有序素材引用</w:t>
            </w:r>
          </w:p>
        </w:tc>
        <w:tc>
          <w:tcPr>
            <w:tcW w:type="dxa" w:w="39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项目 ID、素材 ID 列表、顺序、快照时间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术语边界 标签回答“这是什么”；素材组回答“我要复用哪一批”。素材组不是父标签，也不会修改标签层级。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p>
      <w:pPr>
        <w:pStyle w:val="Heading1"/>
      </w:pPr>
      <w:r>
        <w:t>6. 核心用户流程</w:t>
      </w:r>
    </w:p>
    <w:p>
      <w:pPr>
        <w:pStyle w:val="Heading2"/>
      </w:pPr>
      <w:r>
        <w:t>6.1 自动入库与整理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生成任务成功，结果完成本地落盘并通过完整性校验。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系统为每个结果建立独立素材记录，并保留来源任务关联。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素材立即出现在“全部素材”和对应图片或视频视图中。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用户按需设置别名，并给单个或多个素材添加项目标签。</w:t>
      </w:r>
    </w:p>
    <w:p>
      <w:pPr>
        <w:pStyle w:val="Heading2"/>
      </w:pPr>
      <w:r>
        <w:t>6.2 查找与复用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用户通过别名、物理文件名或标签名称关键字，以及类型、素材组和时间范围缩小结果。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选择素材组时，只返回该组明确保存的素材成员。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用户可通过拖放或当前多选创建素材组，之后直接打开或拖拽。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素材组成员只在用户添加或移除时变化。</w:t>
      </w:r>
    </w:p>
    <w:p>
      <w:pPr>
        <w:pStyle w:val="Heading2"/>
      </w:pPr>
      <w:r>
        <w:t>6.3 拖入生产环境</w:t>
      </w:r>
    </w:p>
    <w:p>
      <w:pPr>
        <w:pStyle w:val="ListNumber"/>
        <w:keepLines/>
      </w:pPr>
      <w:r>
        <w:rPr>
          <w:rFonts w:ascii="Calibri" w:hAnsi="Calibri" w:eastAsia="Microsoft YaHei"/>
        </w:rPr>
        <w:t>用户拖拽单个素材、多选素材或素材组。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系统在拖拽开始时解析可用素材，并按创建时间从早到晚排序。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生产目标校验项目、素材类型与数量约束，再接受引用快照。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目标区域依据自身语义分配用途；例如首尾帧区域接收两张图片，用户可交换顺序。</w:t>
      </w:r>
    </w:p>
    <w:p>
      <w:pPr>
        <w:pStyle w:val="ListNumber"/>
        <w:keepLines/>
      </w:pPr>
      <w:r>
        <w:rPr>
          <w:rFonts w:ascii="Calibri" w:hAnsi="Calibri" w:eastAsia="Microsoft YaHei"/>
        </w:rPr>
        <w:t>拖入后即为生产草稿的一部分，后续标签变化不自动增减已拖入素材。</w:t>
      </w:r>
    </w:p>
    <w:p>
      <w:pPr>
        <w:pStyle w:val="Heading1"/>
      </w:pPr>
      <w:r>
        <w:t>7. 关键交互规范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600"/>
        <w:gridCol w:w="5180"/>
        <w:gridCol w:w="2580"/>
      </w:tblGrid>
      <w:tr>
        <w:trPr>
          <w:tblHeader w:val="true"/>
        </w:trPr>
        <w:tc>
          <w:tcPr>
            <w:tcW w:type="dxa" w:w="16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场景</w:t>
            </w:r>
          </w:p>
        </w:tc>
        <w:tc>
          <w:tcPr>
            <w:tcW w:type="dxa" w:w="51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交互规则</w:t>
            </w:r>
          </w:p>
        </w:tc>
        <w:tc>
          <w:tcPr>
            <w:tcW w:type="dxa" w:w="258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反馈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设置别名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详情面板或卡片菜单内编辑；去除首尾空格；允许同名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保存后立即更新列表与搜索索引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批量打标签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多选后添加或移除标签，不覆盖未选择的其他标签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显示成功数量和失败项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创建素材组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输入名称，将素材拖入或将当前多选素材加入集合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显示当前成员数量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拖拽素材组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拖拽时解析当前成员；已删除或缺失文件的素材排除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拖拽浮层显示可投入数量</w:t>
            </w:r>
          </w:p>
        </w:tc>
      </w:tr>
      <w:tr>
        <w:tc>
          <w:tcPr>
            <w:tcW w:type="dxa" w:w="16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跨项目拖拽</w:t>
            </w:r>
          </w:p>
        </w:tc>
        <w:tc>
          <w:tcPr>
            <w:tcW w:type="dxa" w:w="51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第一版拒绝跨项目引用</w:t>
            </w:r>
          </w:p>
        </w:tc>
        <w:tc>
          <w:tcPr>
            <w:tcW w:type="dxa" w:w="258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明确提示先导入或复制到当前项目</w:t>
            </w:r>
          </w:p>
        </w:tc>
      </w:tr>
      <w:tr>
        <w:tc>
          <w:tcPr>
            <w:tcW w:type="dxa" w:w="16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删除素材</w:t>
            </w:r>
          </w:p>
        </w:tc>
        <w:tc>
          <w:tcPr>
            <w:tcW w:type="dxa" w:w="51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移动到回收站；存在引用时二次确认</w:t>
            </w:r>
          </w:p>
        </w:tc>
        <w:tc>
          <w:tcPr>
            <w:tcW w:type="dxa" w:w="258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可撤销或从回收站恢复</w:t>
            </w:r>
          </w:p>
        </w:tc>
      </w:tr>
    </w:tbl>
    <w:p>
      <w:pPr>
        <w:spacing w:after="0"/>
      </w:pPr>
    </w:p>
    <w:p>
      <w:pPr>
        <w:pStyle w:val="Heading1"/>
      </w:pPr>
      <w:r>
        <w:t>8. 状态与异常处理</w:t>
      </w:r>
    </w:p>
    <w:p>
      <w:pPr>
        <w:pStyle w:val="ListBullet"/>
        <w:keepLines/>
      </w:pPr>
      <w:r>
        <w:rPr>
          <w:rFonts w:ascii="Calibri" w:hAnsi="Calibri" w:eastAsia="Microsoft YaHei"/>
        </w:rPr>
        <w:t>空库：提示先完成一次图片或视频生成，不展示任务状态。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无搜索结果：保留筛选条件，提供清空筛选入口。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文件缺失：卡片标记“文件不可用”，禁止拖拽，并提供打开项目完整性检查。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标签已删除：素材解除关联，不影响素材组成员关系。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素材组无结果：允许保留素材组，但拖拽禁用并显示当前命中 0 项。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只读项目：允许查看、搜索和预览；禁用别名、标签、素材组、删除与拖拽写入生产草稿。</w:t>
      </w:r>
    </w:p>
    <w:p>
      <w:pPr>
        <w:pStyle w:val="Heading1"/>
      </w:pPr>
      <w:r>
        <w:t>9. 权限与协作边界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800"/>
        <w:gridCol w:w="2100"/>
        <w:gridCol w:w="2300"/>
        <w:gridCol w:w="2160"/>
      </w:tblGrid>
      <w:tr>
        <w:trPr>
          <w:tblHeader w:val="true"/>
        </w:trPr>
        <w:tc>
          <w:tcPr>
            <w:tcW w:type="dxa" w:w="28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操作</w:t>
            </w:r>
          </w:p>
        </w:tc>
        <w:tc>
          <w:tcPr>
            <w:tcW w:type="dxa" w:w="21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项目成员</w:t>
            </w:r>
          </w:p>
        </w:tc>
        <w:tc>
          <w:tcPr>
            <w:tcW w:type="dxa" w:w="2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标签创建者</w:t>
            </w:r>
          </w:p>
        </w:tc>
        <w:tc>
          <w:tcPr>
            <w:tcW w:type="dxa" w:w="21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7"/>
              </w:rPr>
              <w:t>项目管理员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查看、搜索、使用标签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创建标签和素材组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修改素材别名和标签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可写项目中允许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重命名或删除标签</w:t>
            </w:r>
          </w:p>
        </w:tc>
        <w:tc>
          <w:tcPr>
            <w:tcW w:type="dxa" w:w="21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允许自己创建的标签</w:t>
            </w:r>
          </w:p>
        </w:tc>
        <w:tc>
          <w:tcPr>
            <w:tcW w:type="dxa" w:w="21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  <w:tr>
        <w:tc>
          <w:tcPr>
            <w:tcW w:type="dxa" w:w="28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彻底删除素材</w:t>
            </w:r>
          </w:p>
        </w:tc>
        <w:tc>
          <w:tcPr>
            <w:tcW w:type="dxa" w:w="21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不允许</w:t>
            </w:r>
          </w:p>
        </w:tc>
        <w:tc>
          <w:tcPr>
            <w:tcW w:type="dxa" w:w="2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不因标签身份获得权限</w:t>
            </w:r>
          </w:p>
        </w:tc>
        <w:tc>
          <w:tcPr>
            <w:tcW w:type="dxa" w:w="21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7"/>
              </w:rPr>
              <w:t>允许</w:t>
            </w:r>
          </w:p>
        </w:tc>
      </w:tr>
    </w:tbl>
    <w:p>
      <w:pPr>
        <w:spacing w:after="0"/>
      </w:pP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FFF7DF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 xml:space="preserve">当前架构说明  </w:t>
            </w:r>
            <w:r>
              <w:rPr>
                <w:rFonts w:ascii="Calibri" w:hAnsi="Calibri" w:eastAsia="Microsoft YaHei"/>
                <w:color w:val="0B2545"/>
                <w:sz w:val="21"/>
              </w:rPr>
              <w:t>现有 Windows 版本是本地单用户项目，尚无成员身份系统。第一版按“当前本地用户拥有可写权限”执行；上述成员权限作为未来协作层的产品合同预留。GitHub仅用于代码协作，不作为素材库的运行时同步或权限系统。</w:t>
            </w:r>
          </w:p>
        </w:tc>
      </w:tr>
    </w:tbl>
    <w:p>
      <w:pPr>
        <w:spacing w:after="0"/>
      </w:pPr>
    </w:p>
    <w:p>
      <w:pPr>
        <w:pStyle w:val="Heading1"/>
      </w:pPr>
      <w:r>
        <w:t>10. 版本范围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450"/>
        <w:gridCol w:w="4850"/>
        <w:gridCol w:w="3060"/>
      </w:tblGrid>
      <w:tr>
        <w:trPr>
          <w:tblHeader w:val="true"/>
        </w:trPr>
        <w:tc>
          <w:tcPr>
            <w:tcW w:type="dxa" w:w="14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阶段</w:t>
            </w:r>
          </w:p>
        </w:tc>
        <w:tc>
          <w:tcPr>
            <w:tcW w:type="dxa" w:w="485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范围</w:t>
            </w:r>
          </w:p>
        </w:tc>
        <w:tc>
          <w:tcPr>
            <w:tcW w:type="dxa" w:w="30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明确不包含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MVP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自动入库、统一浏览、别名、标签名搜索、手动素材组、拖拽、来源定位、回收站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AI 自动标签、语义搜索、跨项目引用、在线协作</w:t>
            </w:r>
          </w:p>
        </w:tc>
      </w:tr>
      <w:tr>
        <w:tc>
          <w:tcPr>
            <w:tcW w:type="dxa" w:w="14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增强版</w:t>
            </w:r>
          </w:p>
        </w:tc>
        <w:tc>
          <w:tcPr>
            <w:tcW w:type="dxa" w:w="485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批量操作优化、缩略图缓存、素材组命中统计、快捷键、性能优化</w:t>
            </w:r>
          </w:p>
        </w:tc>
        <w:tc>
          <w:tcPr>
            <w:tcW w:type="dxa" w:w="30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智能去重、云同步</w:t>
            </w:r>
          </w:p>
        </w:tc>
      </w:tr>
      <w:tr>
        <w:tc>
          <w:tcPr>
            <w:tcW w:type="dxa" w:w="14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后续能力</w:t>
            </w:r>
          </w:p>
        </w:tc>
        <w:tc>
          <w:tcPr>
            <w:tcW w:type="dxa" w:w="485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语义搜索、相似素材、质量检测、团队审计</w:t>
            </w:r>
          </w:p>
        </w:tc>
        <w:tc>
          <w:tcPr>
            <w:tcW w:type="dxa" w:w="30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需独立立项和数据治理</w:t>
            </w:r>
          </w:p>
        </w:tc>
      </w:tr>
    </w:tbl>
    <w:p>
      <w:pPr>
        <w:spacing w:after="0"/>
      </w:pPr>
    </w:p>
    <w:p>
      <w:pPr>
        <w:pStyle w:val="Heading1"/>
      </w:pPr>
      <w:r>
        <w:t>11. 验收标准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素材库中不存在处理中、失败、超时或取消的任务记录。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图片和视频成功落盘后自动出现，每个生成结果均可独立选择。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修改别名后，可立即通过新别名搜索到素材；文件名不发生变化。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输入素材的物理文件名或任一标签名称时，可搜索到对应素材；顶部不出现独立标签筛选控件。选择素材组时，只返回该组明确保存的素材成员。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拖放或多选加入的素材会成为组成员；移除成员不会删除素材本身。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素材组拖入时按创建时间从早到晚排列，进入目标区域后可以重新排序。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拖入后标签变化不会改变生产草稿中的引用快照。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任务日志能够定位对应素材，素材详情能够打开来源任务。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删除进入回收站且可恢复；彻底删除需单独确认。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同一素材用于多个生产位置时不创建文件副本。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打开素材库后，当前小说、剧本、角色与场景、场次与镜头或任务日志仍可同时操作；素材库面板可停靠并排、拖拽排序、浮动、关闭和重新打开。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重新打开项目后恢复本地保存的面板布局；旧布局正常加载，不重复创建素材库面板。</w:t>
      </w:r>
    </w:p>
    <w:p>
      <w:pPr>
        <w:pStyle w:val="ListBullet"/>
        <w:keepLines/>
      </w:pPr>
      <w:r>
        <w:rPr>
          <w:rFonts w:ascii="Calibri" w:hAnsi="Calibri" w:eastAsia="Microsoft YaHei"/>
        </w:rPr>
        <w:t>切换项目后不保留前一项目的素材搜索、筛选、选中项和详情状态。</w:t>
      </w:r>
    </w:p>
    <w:p>
      <w:pPr>
        <w:pStyle w:val="Heading1"/>
      </w:pPr>
      <w:r>
        <w:t>12. 成功指标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4300"/>
        <w:gridCol w:w="3360"/>
      </w:tblGrid>
      <w:tr>
        <w:trPr>
          <w:tblHeader w:val="true"/>
        </w:trPr>
        <w:tc>
          <w:tcPr>
            <w:tcW w:type="dxa" w:w="17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指标</w:t>
            </w:r>
          </w:p>
        </w:tc>
        <w:tc>
          <w:tcPr>
            <w:tcW w:type="dxa" w:w="430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定义</w:t>
            </w:r>
          </w:p>
        </w:tc>
        <w:tc>
          <w:tcPr>
            <w:tcW w:type="dxa" w:w="3360"/>
            <w:shd w:fill="F2F4F7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  <w:jc w:val="left"/>
            </w:pPr>
            <w:r>
              <w:rPr>
                <w:rFonts w:ascii="Calibri" w:hAnsi="Calibri" w:eastAsia="Microsoft YaHei"/>
                <w:b/>
                <w:color w:val="0B2545"/>
                <w:sz w:val="18"/>
              </w:rPr>
              <w:t>建议观察方式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查找成功率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用户发起搜索或筛选后完成预览、拖拽或打开来源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本地匿名事件或可选诊断统计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查找耗时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进入素材库至首次有效使用的时间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中位数与 P90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复用率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被拖入生产环境的素材占成功入库素材比例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按项目和素材类型统计</w:t>
            </w:r>
          </w:p>
        </w:tc>
      </w:tr>
      <w:tr>
        <w:tc>
          <w:tcPr>
            <w:tcW w:type="dxa" w:w="17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整理覆盖率</w:t>
            </w:r>
          </w:p>
        </w:tc>
        <w:tc>
          <w:tcPr>
            <w:tcW w:type="dxa" w:w="430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具有别名、标签或至少一个素材组归属的素材比例</w:t>
            </w:r>
          </w:p>
        </w:tc>
        <w:tc>
          <w:tcPr>
            <w:tcW w:type="dxa" w:w="3360"/>
            <w:shd w:fill="FAFBFC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按项目展示，不做强制 KPI</w:t>
            </w:r>
          </w:p>
        </w:tc>
      </w:tr>
      <w:tr>
        <w:tc>
          <w:tcPr>
            <w:tcW w:type="dxa" w:w="17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误删恢复率</w:t>
            </w:r>
          </w:p>
        </w:tc>
        <w:tc>
          <w:tcPr>
            <w:tcW w:type="dxa" w:w="430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回收站恢复次数占删除次数比例</w:t>
            </w:r>
          </w:p>
        </w:tc>
        <w:tc>
          <w:tcPr>
            <w:tcW w:type="dxa" w:w="3360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 w:line="259" w:lineRule="auto"/>
            </w:pPr>
            <w:r>
              <w:rPr>
                <w:rFonts w:ascii="Calibri" w:hAnsi="Calibri" w:eastAsia="Microsoft YaHei"/>
                <w:color w:val="252A31"/>
                <w:sz w:val="18"/>
              </w:rPr>
              <w:t>用于判断删除提示是否充分</w:t>
            </w:r>
          </w:p>
        </w:tc>
      </w:tr>
    </w:tbl>
    <w:p>
      <w:pPr>
        <w:spacing w:after="0"/>
      </w:pPr>
    </w:p>
    <w:p>
      <w:pPr>
        <w:pStyle w:val="Heading1"/>
      </w:pPr>
      <w:r>
        <w:t>13. 方案冻结项</w:t>
      </w:r>
    </w:p>
    <w:tbl>
      <w:tblPr>
        <w:tblStyle w:val="TableGrid"/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blHeader w:val="true"/>
        </w:trPr>
        <w:tc>
          <w:tcPr>
            <w:tcW w:type="dxa" w:w="9360"/>
            <w:shd w:fill="EAF4EE"/>
            <w:tcMar>
              <w:top w:w="90" w:type="dxa"/>
              <w:start w:w="120" w:type="dxa"/>
              <w:bottom w:w="90" w:type="dxa"/>
              <w:end w:w="120" w:type="dxa"/>
            </w:tcMar>
            <w:vAlign w:val="center"/>
          </w:tcPr>
          <w:p>
            <w:pPr>
              <w:spacing w:after="0"/>
            </w:pPr>
            <w:r>
              <w:rPr>
                <w:rFonts w:ascii="Calibri" w:hAnsi="Calibri" w:eastAsia="Microsoft YaHei"/>
                <w:b/>
                <w:color w:val="0B2545"/>
                <w:sz w:val="21"/>
              </w:rPr>
              <w:t>无待决策阻塞项 本方案所需的产品规则已确认。实施中允许调整组件拆分和数据库迁移批次，但不得改变入库范围、别名语义、素材组手动成员关系、拖拽快照和回收站边界。</w:t>
            </w:r>
            <w:r>
              <w:rPr>
                <w:rFonts w:ascii="Calibri" w:hAnsi="Calibri" w:eastAsia="Microsoft YaHei"/>
                <w:color w:val="0B2545"/>
                <w:sz w:val="21"/>
              </w:rPr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before="0"/>
      <w:jc w:val="right"/>
    </w:pPr>
    <w:r>
      <w:rPr>
        <w:rFonts w:ascii="Calibri" w:hAnsi="Calibri" w:eastAsia="Microsoft YaHei"/>
        <w:color w:val="5B6573"/>
        <w:sz w:val="17"/>
      </w:rPr>
      <w:t xml:space="preserve">2026-08-10   ·   </w:t>
    </w:r>
    <w:r>
      <w:rPr>
        <w:rFonts w:ascii="Calibri" w:hAnsi="Calibri" w:eastAsia="Microsoft YaHei"/>
        <w:color w:val="5B6573"/>
        <w:sz w:val="17"/>
      </w:rPr>
      <w:fldChar w:fldCharType="begin"/>
      <w:instrText xml:space="preserve"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after="0"/>
      <w:jc w:val="left"/>
    </w:pPr>
    <w:r>
      <w:rPr>
        <w:rFonts w:ascii="Calibri" w:hAnsi="Calibri" w:eastAsia="Microsoft YaHei"/>
        <w:b/>
        <w:color w:val="5B6573"/>
        <w:sz w:val="17"/>
      </w:rPr>
      <w:t>素材库优化方案</w:t>
    </w:r>
    <w:r>
      <w:rPr>
        <w:rFonts w:ascii="Calibri" w:hAnsi="Calibri" w:eastAsia="Microsoft YaHei"/>
        <w:color w:val="5B6573"/>
        <w:sz w:val="17"/>
      </w:rPr>
      <w:t xml:space="preserve">  |  v1.0  |  已确认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264" w:lineRule="auto"/>
    </w:pPr>
    <w:rPr>
      <w:rFonts w:ascii="Calibri" w:hAnsi="Calibri" w:eastAsia="Microsoft YaHei"/>
      <w:color w:val="2025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 w:line="240" w:lineRule="auto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 w:line="240" w:lineRule="auto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 w:line="240" w:lineRule="auto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160" w:line="280" w:lineRule="auto"/>
      <w:ind w:left="720" w:hanging="360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