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6023B" w:rsidRPr="004A330C" w14:paraId="4AA278E5" w14:textId="77777777">
        <w:tc>
          <w:tcPr>
            <w:tcW w:w="4680" w:type="dxa"/>
          </w:tcPr>
          <w:p w14:paraId="4F31D7CB" w14:textId="77777777" w:rsidR="00F6023B" w:rsidRPr="004A330C" w:rsidRDefault="00000000">
            <w:pPr>
              <w:jc w:val="center"/>
            </w:pPr>
            <w:r w:rsidRPr="004A330C">
              <w:rPr>
                <w:noProof/>
              </w:rPr>
              <w:drawing>
                <wp:inline distT="0" distB="0" distL="0" distR="0" wp14:anchorId="021A7BFE" wp14:editId="4D136D81">
                  <wp:extent cx="1905000" cy="1428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428750"/>
                          </a:xfrm>
                          <a:prstGeom prst="rect">
                            <a:avLst/>
                          </a:prstGeom>
                        </pic:spPr>
                      </pic:pic>
                    </a:graphicData>
                  </a:graphic>
                </wp:inline>
              </w:drawing>
            </w:r>
          </w:p>
        </w:tc>
        <w:tc>
          <w:tcPr>
            <w:tcW w:w="4680" w:type="dxa"/>
            <w:vAlign w:val="center"/>
          </w:tcPr>
          <w:p w14:paraId="46306BC0" w14:textId="77777777" w:rsidR="00F6023B" w:rsidRPr="004A330C" w:rsidRDefault="00000000">
            <w:pPr>
              <w:jc w:val="center"/>
            </w:pPr>
            <w:r w:rsidRPr="004A330C">
              <w:rPr>
                <w:noProof/>
              </w:rPr>
              <w:drawing>
                <wp:inline distT="0" distB="0" distL="0" distR="0" wp14:anchorId="7D5CCA79" wp14:editId="6BD08847">
                  <wp:extent cx="2095500" cy="1162050"/>
                  <wp:effectExtent l="0" t="0" r="0" b="0"/>
                  <wp:docPr id="1255405082" name="Imagen 125540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162050"/>
                          </a:xfrm>
                          <a:prstGeom prst="rect">
                            <a:avLst/>
                          </a:prstGeom>
                        </pic:spPr>
                      </pic:pic>
                    </a:graphicData>
                  </a:graphic>
                </wp:inline>
              </w:drawing>
            </w:r>
          </w:p>
        </w:tc>
      </w:tr>
    </w:tbl>
    <w:p w14:paraId="5604C25B" w14:textId="77777777" w:rsidR="00F6023B" w:rsidRPr="004A330C" w:rsidRDefault="00000000">
      <w:pPr>
        <w:spacing w:before="500" w:after="120"/>
        <w:jc w:val="center"/>
        <w:rPr>
          <w:lang w:val="es-MX"/>
        </w:rPr>
      </w:pPr>
      <w:r w:rsidRPr="004A330C">
        <w:rPr>
          <w:sz w:val="28"/>
          <w:szCs w:val="28"/>
          <w:lang w:val="es-MX"/>
        </w:rPr>
        <w:t>UNIVERSIDAD AUTÓNOMA DE ZACATECAS</w:t>
      </w:r>
    </w:p>
    <w:p w14:paraId="0FA0FCBF" w14:textId="77777777" w:rsidR="00F6023B" w:rsidRPr="004A330C" w:rsidRDefault="00000000">
      <w:pPr>
        <w:spacing w:after="120"/>
        <w:jc w:val="center"/>
        <w:rPr>
          <w:lang w:val="es-MX"/>
        </w:rPr>
      </w:pPr>
      <w:r w:rsidRPr="004A330C">
        <w:rPr>
          <w:sz w:val="28"/>
          <w:szCs w:val="28"/>
          <w:lang w:val="es-MX"/>
        </w:rPr>
        <w:t>CAMPUS UAZ SIGLO XXI</w:t>
      </w:r>
    </w:p>
    <w:p w14:paraId="2E0CDD24" w14:textId="77777777" w:rsidR="00F6023B" w:rsidRPr="004A330C" w:rsidRDefault="00000000">
      <w:pPr>
        <w:spacing w:after="700"/>
        <w:jc w:val="center"/>
        <w:rPr>
          <w:lang w:val="es-MX"/>
        </w:rPr>
      </w:pPr>
      <w:r w:rsidRPr="004A330C">
        <w:rPr>
          <w:sz w:val="28"/>
          <w:szCs w:val="28"/>
          <w:lang w:val="es-MX"/>
        </w:rPr>
        <w:t>INGENIERÍA DE SOFTWARE</w:t>
      </w:r>
    </w:p>
    <w:p w14:paraId="3E8C78EF" w14:textId="77777777" w:rsidR="00F6023B" w:rsidRPr="004A330C" w:rsidRDefault="00000000">
      <w:pPr>
        <w:spacing w:after="60"/>
        <w:jc w:val="center"/>
        <w:rPr>
          <w:lang w:val="es-MX"/>
        </w:rPr>
      </w:pPr>
      <w:r w:rsidRPr="004A330C">
        <w:rPr>
          <w:sz w:val="24"/>
          <w:szCs w:val="24"/>
          <w:lang w:val="es-MX"/>
        </w:rPr>
        <w:t>Sebastián Guerra Hernández</w:t>
      </w:r>
    </w:p>
    <w:p w14:paraId="2E082DE9" w14:textId="77777777" w:rsidR="00F6023B" w:rsidRPr="004A330C" w:rsidRDefault="00000000">
      <w:pPr>
        <w:spacing w:after="60"/>
        <w:jc w:val="center"/>
        <w:rPr>
          <w:lang w:val="es-MX"/>
        </w:rPr>
      </w:pPr>
      <w:r w:rsidRPr="004A330C">
        <w:rPr>
          <w:sz w:val="24"/>
          <w:szCs w:val="24"/>
          <w:lang w:val="es-MX"/>
        </w:rPr>
        <w:t>Pablo Valentín Varela Rivera</w:t>
      </w:r>
    </w:p>
    <w:p w14:paraId="0AD60942" w14:textId="77777777" w:rsidR="00F6023B" w:rsidRPr="004A330C" w:rsidRDefault="00000000">
      <w:pPr>
        <w:spacing w:after="60"/>
        <w:jc w:val="center"/>
        <w:rPr>
          <w:lang w:val="es-MX"/>
        </w:rPr>
      </w:pPr>
      <w:r w:rsidRPr="004A330C">
        <w:rPr>
          <w:sz w:val="24"/>
          <w:szCs w:val="24"/>
          <w:lang w:val="es-MX"/>
        </w:rPr>
        <w:t>Francisco Valdez García</w:t>
      </w:r>
    </w:p>
    <w:p w14:paraId="502DD2A3" w14:textId="77777777" w:rsidR="00F6023B" w:rsidRPr="004A330C" w:rsidRDefault="00000000">
      <w:pPr>
        <w:spacing w:after="60"/>
        <w:jc w:val="center"/>
        <w:rPr>
          <w:lang w:val="es-MX"/>
        </w:rPr>
      </w:pPr>
      <w:r w:rsidRPr="004A330C">
        <w:rPr>
          <w:sz w:val="24"/>
          <w:szCs w:val="24"/>
          <w:lang w:val="es-MX"/>
        </w:rPr>
        <w:t>Marco Antonio de Jesús Oliva Santos</w:t>
      </w:r>
    </w:p>
    <w:p w14:paraId="08F690C2" w14:textId="77777777" w:rsidR="00F6023B" w:rsidRPr="004A330C" w:rsidRDefault="00F6023B">
      <w:pPr>
        <w:pBdr>
          <w:bottom w:val="single" w:sz="8" w:space="1" w:color="000000"/>
        </w:pBdr>
        <w:spacing w:after="60"/>
        <w:rPr>
          <w:lang w:val="es-MX"/>
        </w:rPr>
      </w:pPr>
    </w:p>
    <w:p w14:paraId="761C1846" w14:textId="77777777" w:rsidR="00F6023B" w:rsidRPr="004A330C" w:rsidRDefault="00000000">
      <w:pPr>
        <w:spacing w:after="60"/>
        <w:jc w:val="center"/>
        <w:rPr>
          <w:lang w:val="es-MX"/>
        </w:rPr>
      </w:pPr>
      <w:r w:rsidRPr="004A330C">
        <w:rPr>
          <w:sz w:val="26"/>
          <w:szCs w:val="26"/>
          <w:lang w:val="es-MX"/>
        </w:rPr>
        <w:t>PSPS</w:t>
      </w:r>
    </w:p>
    <w:p w14:paraId="2EDC1F4E" w14:textId="77777777" w:rsidR="00F6023B" w:rsidRPr="004A330C" w:rsidRDefault="00F6023B">
      <w:pPr>
        <w:pBdr>
          <w:bottom w:val="single" w:sz="8" w:space="1" w:color="000000"/>
        </w:pBdr>
        <w:spacing w:after="60"/>
        <w:rPr>
          <w:lang w:val="es-MX"/>
        </w:rPr>
      </w:pPr>
    </w:p>
    <w:p w14:paraId="4DA9C023" w14:textId="77777777" w:rsidR="00F6023B" w:rsidRPr="004A330C" w:rsidRDefault="00000000">
      <w:pPr>
        <w:pStyle w:val="Ttulo"/>
        <w:spacing w:after="60"/>
        <w:jc w:val="center"/>
        <w:rPr>
          <w:lang w:val="es-MX"/>
        </w:rPr>
      </w:pPr>
      <w:r w:rsidRPr="004A330C">
        <w:rPr>
          <w:rFonts w:ascii="Arial" w:hAnsi="Arial"/>
          <w:color w:val="000000"/>
          <w:sz w:val="28"/>
          <w:szCs w:val="28"/>
          <w:lang w:val="es-MX"/>
        </w:rPr>
      </w:r>
      <w:r>
        <w:rPr>
          <w:rFonts w:ascii="Arial" w:hAnsi="Arial"/>
          <w:color w:val="000000"/>
          <w:sz w:val="28"/>
        </w:rPr>
      </w:r>
      <w:r>
        <w:rPr>
          <w:rFonts w:ascii="Arial" w:hAnsi="Arial"/>
          <w:color w:val="000000"/>
          <w:sz w:val="28"/>
        </w:rPr>
        <w:t>Revisión de código de CU 08 y CU 09</w:t>
      </w:r>
    </w:p>
    <w:p w14:paraId="043CDF87" w14:textId="77777777" w:rsidR="00F6023B" w:rsidRPr="004A330C" w:rsidRDefault="00F6023B">
      <w:pPr>
        <w:pBdr>
          <w:bottom w:val="single" w:sz="8" w:space="1" w:color="000000"/>
        </w:pBdr>
        <w:spacing w:after="60"/>
        <w:rPr>
          <w:lang w:val="es-MX"/>
        </w:rPr>
      </w:pPr>
    </w:p>
    <w:p w14:paraId="2E57E53B" w14:textId="77777777" w:rsidR="00F6023B" w:rsidRPr="004A330C" w:rsidRDefault="00000000">
      <w:pPr>
        <w:spacing w:after="60"/>
        <w:jc w:val="center"/>
        <w:rPr>
          <w:lang w:val="es-MX"/>
        </w:rPr>
      </w:pPr>
      <w:r w:rsidRPr="004A330C">
        <w:rPr>
          <w:sz w:val="22"/>
          <w:szCs w:val="22"/>
          <w:lang w:val="es-MX"/>
        </w:rPr>
      </w:r>
      <w:r/>
      <w:r>
        <w:t>Sprint 02 · Registro técnico con observaciones abiertas</w:t>
      </w:r>
    </w:p>
    <w:p w14:paraId="7D01E232" w14:textId="77777777" w:rsidR="00F6023B" w:rsidRPr="004A330C" w:rsidRDefault="00000000">
      <w:pPr>
        <w:spacing w:after="120"/>
        <w:jc w:val="center"/>
        <w:rPr>
          <w:lang w:val="es-MX"/>
        </w:rPr>
      </w:pPr>
      <w:r w:rsidRPr="004A330C">
        <w:rPr>
          <w:sz w:val="24"/>
          <w:szCs w:val="24"/>
          <w:lang w:val="es-MX"/>
        </w:rPr>
        <w:t>Team Software Process</w:t>
      </w:r>
    </w:p>
    <w:p w14:paraId="4C4F893B" w14:textId="371AD14D" w:rsidR="00F6023B" w:rsidRPr="004A330C" w:rsidRDefault="003E7120">
      <w:pPr>
        <w:spacing w:after="120"/>
        <w:jc w:val="center"/>
        <w:rPr>
          <w:lang w:val="es-MX"/>
        </w:rPr>
      </w:pPr>
      <w:r w:rsidRPr="004A330C">
        <w:rPr>
          <w:sz w:val="24"/>
          <w:szCs w:val="24"/>
          <w:lang w:val="es-MX"/>
        </w:rPr>
      </w:r>
      <w:r/>
      <w:r>
        <w:t>28 de octubre de 2026</w:t>
      </w:r>
    </w:p>
    <w:p w14:paraId="22507A05" w14:textId="77777777" w:rsidR="00F6023B" w:rsidRPr="004A330C" w:rsidRDefault="00000000">
      <w:pPr>
        <w:rPr>
          <w:lang w:val="es-MX"/>
        </w:rPr>
      </w:pPr>
      <w:r w:rsidRPr="004A330C">
        <w:rPr>
          <w:lang w:val="es-MX"/>
        </w:rPr>
        <w:br w:type="page"/>
      </w:r>
    </w:p>
    <w:p>
      <w:pPr>
        <w:pStyle w:val="Ttulo1"/>
        <w:spacing w:before="160" w:after="120"/>
      </w:pPr>
      <w:r>
        <w:rPr>
          <w:rFonts w:ascii="Arial" w:hAnsi="Arial"/>
          <w:b/>
          <w:color w:val="000000"/>
          <w:sz w:val="24"/>
        </w:rPr>
        <w:t>1 Resultado de la revisión</w:t>
      </w:r>
    </w:p>
    <w:p>
      <w:pPr>
        <w:spacing w:after="140" w:line="257" w:lineRule="auto"/>
      </w:pPr>
      <w:r>
        <w:rPr>
          <w:rFonts w:ascii="Arial" w:hAnsi="Arial"/>
          <w:b w:val="0"/>
          <w:color w:val="000000"/>
          <w:sz w:val="21"/>
        </w:rPr>
        <w:t>La revisión técnica de CU-08 y CU-09 se ejecutó sobre las revisiones exactas de sus pull requests. Se identificaron pendientes de integración y defectos reproducibles. El resultado es con observaciones abiertas; no se recomienda registrar una aprobación técnica sin atenderlas.</w:t>
      </w:r>
    </w:p>
    <w:tbl>
      <w:tblPr>
        <w:tblW w:type="auto" w:w="0"/>
        <w:jc w:val="center"/>
        <w:tblLayout w:type="fixed"/>
        <w:tblLook w:firstColumn="1" w:firstRow="1" w:lastColumn="0" w:lastRow="0" w:noHBand="0" w:noVBand="1" w:val="04A0"/>
      </w:tblPr>
      <w:tblGrid>
        <w:gridCol w:w="2160"/>
        <w:gridCol w:w="7200"/>
      </w:tblGrid>
      <w:tr>
        <w:trPr>
          <w:cantSplit/>
          <w:tblHeader/>
        </w:trPr>
        <w:tc>
          <w:tcPr>
            <w:tcW w:type="dxa" w:w="2160"/>
            <w:vAlign w:val="center"/>
            <w:tcBorders>
              <w:top w:val="single" w:sz="4" w:color="D9D9D9"/>
              <w:left w:val="single" w:sz="4" w:color="D9D9D9"/>
              <w:bottom w:val="single" w:sz="4" w:color="D9D9D9"/>
              <w:right w:val="single" w:sz="4" w:color="D9D9D9"/>
            </w:tcBorders>
            <w:shd w:fill="E7EDF1"/>
          </w:tcPr>
          <w:p>
            <w:pPr>
              <w:spacing w:after="80" w:before="60" w:line="247" w:lineRule="auto"/>
            </w:pPr>
            <w:r>
              <w:rPr>
                <w:rFonts w:ascii="Arial" w:hAnsi="Arial"/>
                <w:b/>
                <w:color w:val="000000"/>
                <w:sz w:val="19"/>
              </w:rPr>
              <w:t>Dato</w:t>
            </w:r>
          </w:p>
        </w:tc>
        <w:tc>
          <w:tcPr>
            <w:tcW w:type="dxa" w:w="7200"/>
            <w:vAlign w:val="center"/>
            <w:tcBorders>
              <w:top w:val="single" w:sz="4" w:color="D9D9D9"/>
              <w:left w:val="single" w:sz="4" w:color="D9D9D9"/>
              <w:bottom w:val="single" w:sz="4" w:color="D9D9D9"/>
              <w:right w:val="single" w:sz="4" w:color="D9D9D9"/>
            </w:tcBorders>
            <w:shd w:fill="E7EDF1"/>
          </w:tcPr>
          <w:p>
            <w:pPr>
              <w:spacing w:after="80" w:before="60" w:line="247" w:lineRule="auto"/>
            </w:pPr>
            <w:r>
              <w:rPr>
                <w:rFonts w:ascii="Arial" w:hAnsi="Arial"/>
                <w:b/>
                <w:color w:val="000000"/>
                <w:sz w:val="19"/>
              </w:rPr>
              <w:t>Registro</w:t>
            </w:r>
          </w:p>
        </w:tc>
      </w:tr>
      <w:tr>
        <w:trPr>
          <w:cantSplit/>
        </w:trPr>
        <w:tc>
          <w:tcPr>
            <w:tcW w:type="dxa" w:w="2160"/>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Responsable según el PSR</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Francisco Valdez García · ID 60 del 27/10 e ID 68 del 28/10.</w:t>
            </w:r>
          </w:p>
        </w:tc>
      </w:tr>
      <w:tr>
        <w:trPr>
          <w:cantSplit/>
        </w:trPr>
        <w:tc>
          <w:tcPr>
            <w:tcW w:type="dxa" w:w="2160"/>
            <w:vAlign w:val="center"/>
            <w:tcBorders>
              <w:top w:val="single" w:sz="4" w:color="D9D9D9"/>
              <w:left w:val="single" w:sz="4" w:color="D9D9D9"/>
              <w:bottom w:val="single" w:sz="4" w:color="D9D9D9"/>
              <w:right w:val="single" w:sz="4" w:color="D9D9D9"/>
            </w:tcBorders>
            <w:shd w:fill="F5F7F9"/>
          </w:tcPr>
          <w:p>
            <w:pPr>
              <w:spacing w:after="80" w:before="60" w:line="247" w:lineRule="auto"/>
            </w:pPr>
            <w:r>
              <w:rPr>
                <w:rFonts w:ascii="Arial" w:hAnsi="Arial"/>
                <w:b w:val="0"/>
                <w:color w:val="000000"/>
                <w:sz w:val="19"/>
              </w:rPr>
              <w:t>CU-08</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60" w:line="247" w:lineRule="auto"/>
            </w:pPr>
            <w:r>
              <w:rPr>
                <w:rFonts w:ascii="Arial" w:hAnsi="Arial"/>
                <w:b w:val="0"/>
                <w:color w:val="000000"/>
                <w:sz w:val="19"/>
              </w:rPr>
              <w:t>Marco Antonio de Jesús Oliva Santos · PR 9 abierto hacia main.</w:t>
            </w:r>
          </w:p>
        </w:tc>
      </w:tr>
      <w:tr>
        <w:trPr>
          <w:cantSplit/>
        </w:trPr>
        <w:tc>
          <w:tcPr>
            <w:tcW w:type="dxa" w:w="2160"/>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CU-09</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Pablo Valentín Varela Rivera · PR 10 fusionado en main el 26/10/2026.</w:t>
            </w:r>
          </w:p>
        </w:tc>
      </w:tr>
      <w:tr>
        <w:trPr>
          <w:cantSplit/>
        </w:trPr>
        <w:tc>
          <w:tcPr>
            <w:tcW w:type="dxa" w:w="2160"/>
            <w:vAlign w:val="center"/>
            <w:tcBorders>
              <w:top w:val="single" w:sz="4" w:color="D9D9D9"/>
              <w:left w:val="single" w:sz="4" w:color="D9D9D9"/>
              <w:bottom w:val="single" w:sz="4" w:color="D9D9D9"/>
              <w:right w:val="single" w:sz="4" w:color="D9D9D9"/>
            </w:tcBorders>
            <w:shd w:fill="F5F7F9"/>
          </w:tcPr>
          <w:p>
            <w:pPr>
              <w:spacing w:after="80" w:before="60" w:line="247" w:lineRule="auto"/>
            </w:pPr>
            <w:r>
              <w:rPr>
                <w:rFonts w:ascii="Arial" w:hAnsi="Arial"/>
                <w:b w:val="0"/>
                <w:color w:val="000000"/>
                <w:sz w:val="19"/>
              </w:rPr>
              <w:t>Revisiones de GitHub</w:t>
            </w:r>
          </w:p>
        </w:tc>
        <w:tc>
          <w:tcPr>
            <w:tcW w:type="dxa" w:w="7200"/>
            <w:vAlign w:val="center"/>
            <w:tcBorders>
              <w:top w:val="single" w:sz="4" w:color="D9D9D9"/>
              <w:left w:val="single" w:sz="4" w:color="D9D9D9"/>
              <w:bottom w:val="single" w:sz="4" w:color="D9D9D9"/>
              <w:right w:val="single" w:sz="4" w:color="D9D9D9"/>
            </w:tcBorders>
            <w:shd w:fill="F5F7F9"/>
          </w:tcPr>
          <w:p>
            <w:pPr>
              <w:spacing w:after="80" w:before="60" w:line="247" w:lineRule="auto"/>
            </w:pPr>
            <w:r>
              <w:rPr>
                <w:rFonts w:ascii="Arial" w:hAnsi="Arial"/>
                <w:b w:val="0"/>
                <w:color w:val="000000"/>
                <w:sz w:val="19"/>
              </w:rPr>
              <w:t>No se encontraron reviews ni comentarios de revisión en los PR 9 y 10 al consultar el 28/10/2026.</w:t>
            </w:r>
          </w:p>
        </w:tc>
      </w:tr>
      <w:tr>
        <w:trPr>
          <w:cantSplit/>
        </w:trPr>
        <w:tc>
          <w:tcPr>
            <w:tcW w:type="dxa" w:w="2160"/>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Alcance</w:t>
            </w:r>
          </w:p>
        </w:tc>
        <w:tc>
          <w:tcPr>
            <w:tcW w:type="dxa" w:w="7200"/>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Inspección de código, pruebas locales y documentación del PR. No se publicaron comentarios, reviews ni merges.</w:t>
            </w:r>
          </w:p>
        </w:tc>
      </w:tr>
    </w:tbl>
    <w:p>
      <w:pPr>
        <w:spacing w:after="140" w:line="257" w:lineRule="auto"/>
      </w:pPr>
      <w:r>
        <w:rPr>
          <w:rFonts w:ascii="Arial" w:hAnsi="Arial"/>
          <w:b w:val="0"/>
          <w:color w:val="000000"/>
          <w:sz w:val="21"/>
        </w:rPr>
      </w:r>
    </w:p>
    <w:tbl>
      <w:tblPr>
        <w:tblW w:type="auto" w:w="0"/>
        <w:jc w:val="center"/>
        <w:tblLayout w:type="fixed"/>
        <w:tblLook w:firstColumn="1" w:firstRow="1" w:lastColumn="0" w:lastRow="0" w:noHBand="0" w:noVBand="1" w:val="04A0"/>
      </w:tblPr>
      <w:tblGrid>
        <w:gridCol w:w="3816"/>
        <w:gridCol w:w="5544"/>
      </w:tblGrid>
      <w:tr>
        <w:trPr>
          <w:cantSplit/>
          <w:tblHeader/>
        </w:trPr>
        <w:tc>
          <w:tcPr>
            <w:tcW w:type="dxa" w:w="3816"/>
            <w:vAlign w:val="center"/>
            <w:tcBorders>
              <w:top w:val="single" w:sz="4" w:color="D9D9D9"/>
              <w:left w:val="single" w:sz="4" w:color="D9D9D9"/>
              <w:bottom w:val="single" w:sz="4" w:color="D9D9D9"/>
              <w:right w:val="single" w:sz="4" w:color="D9D9D9"/>
            </w:tcBorders>
            <w:shd w:fill="E7EDF1"/>
          </w:tcPr>
          <w:p>
            <w:pPr>
              <w:spacing w:after="80" w:before="60" w:line="247" w:lineRule="auto"/>
            </w:pPr>
            <w:r>
              <w:rPr>
                <w:rFonts w:ascii="Arial" w:hAnsi="Arial"/>
                <w:b/>
                <w:color w:val="000000"/>
                <w:sz w:val="19"/>
              </w:rPr>
              <w:t>Comprobación</w:t>
            </w:r>
          </w:p>
        </w:tc>
        <w:tc>
          <w:tcPr>
            <w:tcW w:type="dxa" w:w="5544"/>
            <w:vAlign w:val="center"/>
            <w:tcBorders>
              <w:top w:val="single" w:sz="4" w:color="D9D9D9"/>
              <w:left w:val="single" w:sz="4" w:color="D9D9D9"/>
              <w:bottom w:val="single" w:sz="4" w:color="D9D9D9"/>
              <w:right w:val="single" w:sz="4" w:color="D9D9D9"/>
            </w:tcBorders>
            <w:shd w:fill="E7EDF1"/>
          </w:tcPr>
          <w:p>
            <w:pPr>
              <w:spacing w:after="80" w:before="60" w:line="247" w:lineRule="auto"/>
            </w:pPr>
            <w:r>
              <w:rPr>
                <w:rFonts w:ascii="Arial" w:hAnsi="Arial"/>
                <w:b/>
                <w:color w:val="000000"/>
                <w:sz w:val="19"/>
              </w:rPr>
              <w:t>Resultado real</w:t>
            </w:r>
          </w:p>
        </w:tc>
      </w:tr>
      <w:tr>
        <w:trPr>
          <w:cantSplit/>
        </w:trPr>
        <w:tc>
          <w:tcPr>
            <w:tcW w:type="dxa" w:w="3816"/>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CU-08 pruebas originales</w:t>
            </w:r>
          </w:p>
        </w:tc>
        <w:tc>
          <w:tcPr>
            <w:tcW w:type="dxa" w:w="5544"/>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9 aprobadas en un entorno de prueba auxiliar.</w:t>
            </w:r>
          </w:p>
        </w:tc>
      </w:tr>
      <w:tr>
        <w:trPr>
          <w:cantSplit/>
        </w:trPr>
        <w:tc>
          <w:tcPr>
            <w:tcW w:type="dxa" w:w="3816"/>
            <w:vAlign w:val="center"/>
            <w:tcBorders>
              <w:top w:val="single" w:sz="4" w:color="D9D9D9"/>
              <w:left w:val="single" w:sz="4" w:color="D9D9D9"/>
              <w:bottom w:val="single" w:sz="4" w:color="D9D9D9"/>
              <w:right w:val="single" w:sz="4" w:color="D9D9D9"/>
            </w:tcBorders>
            <w:shd w:fill="F5F7F9"/>
          </w:tcPr>
          <w:p>
            <w:pPr>
              <w:spacing w:after="80" w:before="60" w:line="247" w:lineRule="auto"/>
            </w:pPr>
            <w:r>
              <w:rPr>
                <w:rFonts w:ascii="Arial" w:hAnsi="Arial"/>
                <w:b w:val="0"/>
                <w:color w:val="000000"/>
                <w:sz w:val="19"/>
              </w:rPr>
              <w:t>CU-08 regreso de CU-02</w:t>
            </w:r>
          </w:p>
        </w:tc>
        <w:tc>
          <w:tcPr>
            <w:tcW w:type="dxa" w:w="5544"/>
            <w:vAlign w:val="center"/>
            <w:tcBorders>
              <w:top w:val="single" w:sz="4" w:color="D9D9D9"/>
              <w:left w:val="single" w:sz="4" w:color="D9D9D9"/>
              <w:bottom w:val="single" w:sz="4" w:color="D9D9D9"/>
              <w:right w:val="single" w:sz="4" w:color="D9D9D9"/>
            </w:tcBorders>
            <w:shd w:fill="F5F7F9"/>
          </w:tcPr>
          <w:p>
            <w:pPr>
              <w:spacing w:after="80" w:before="60" w:line="247" w:lineRule="auto"/>
            </w:pPr>
            <w:r>
              <w:rPr>
                <w:rFonts w:ascii="Arial" w:hAnsi="Arial"/>
                <w:b w:val="0"/>
                <w:color w:val="000000"/>
                <w:sz w:val="19"/>
              </w:rPr>
              <w:t>1 prueba adicional fallida: la lista conserva Pendiente.</w:t>
            </w:r>
          </w:p>
        </w:tc>
      </w:tr>
      <w:tr>
        <w:trPr>
          <w:cantSplit/>
        </w:trPr>
        <w:tc>
          <w:tcPr>
            <w:tcW w:type="dxa" w:w="3816"/>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CU-09 pruebas específicas</w:t>
            </w:r>
          </w:p>
        </w:tc>
        <w:tc>
          <w:tcPr>
            <w:tcW w:type="dxa" w:w="5544"/>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14 aprobadas y 1 fallida de 15.</w:t>
            </w:r>
          </w:p>
        </w:tc>
      </w:tr>
      <w:tr>
        <w:trPr>
          <w:cantSplit/>
        </w:trPr>
        <w:tc>
          <w:tcPr>
            <w:tcW w:type="dxa" w:w="3816"/>
            <w:vAlign w:val="center"/>
            <w:tcBorders>
              <w:top w:val="single" w:sz="4" w:color="D9D9D9"/>
              <w:left w:val="single" w:sz="4" w:color="D9D9D9"/>
              <w:bottom w:val="single" w:sz="4" w:color="D9D9D9"/>
              <w:right w:val="single" w:sz="4" w:color="D9D9D9"/>
            </w:tcBorders>
            <w:shd w:fill="F5F7F9"/>
          </w:tcPr>
          <w:p>
            <w:pPr>
              <w:spacing w:after="80" w:before="60" w:line="247" w:lineRule="auto"/>
            </w:pPr>
            <w:r>
              <w:rPr>
                <w:rFonts w:ascii="Arial" w:hAnsi="Arial"/>
                <w:b w:val="0"/>
                <w:color w:val="000000"/>
                <w:sz w:val="19"/>
              </w:rPr>
              <w:t>CU-09 regresión completa</w:t>
            </w:r>
          </w:p>
        </w:tc>
        <w:tc>
          <w:tcPr>
            <w:tcW w:type="dxa" w:w="5544"/>
            <w:vAlign w:val="center"/>
            <w:tcBorders>
              <w:top w:val="single" w:sz="4" w:color="D9D9D9"/>
              <w:left w:val="single" w:sz="4" w:color="D9D9D9"/>
              <w:bottom w:val="single" w:sz="4" w:color="D9D9D9"/>
              <w:right w:val="single" w:sz="4" w:color="D9D9D9"/>
            </w:tcBorders>
            <w:shd w:fill="F5F7F9"/>
          </w:tcPr>
          <w:p>
            <w:pPr>
              <w:spacing w:after="80" w:before="60" w:line="247" w:lineRule="auto"/>
            </w:pPr>
            <w:r>
              <w:rPr>
                <w:rFonts w:ascii="Arial" w:hAnsi="Arial"/>
                <w:b w:val="0"/>
                <w:color w:val="000000"/>
                <w:sz w:val="19"/>
              </w:rPr>
              <w:t>66 aprobadas y 1 fallida de 67; incluye las 15 anteriores.</w:t>
            </w:r>
          </w:p>
        </w:tc>
      </w:tr>
      <w:tr>
        <w:trPr>
          <w:cantSplit/>
        </w:trPr>
        <w:tc>
          <w:tcPr>
            <w:tcW w:type="dxa" w:w="3816"/>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CU-09 análisis estático</w:t>
            </w:r>
          </w:p>
        </w:tc>
        <w:tc>
          <w:tcPr>
            <w:tcW w:type="dxa" w:w="5544"/>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Sin incidencias.</w:t>
            </w:r>
          </w:p>
        </w:tc>
      </w:tr>
    </w:tbl>
    <w:p>
      <w:pPr>
        <w:spacing w:after="140" w:line="257" w:lineRule="auto"/>
      </w:pPr>
      <w:r>
        <w:rPr>
          <w:rFonts w:ascii="Arial" w:hAnsi="Arial"/>
          <w:b w:val="0"/>
          <w:color w:val="000000"/>
          <w:sz w:val="21"/>
        </w:rPr>
      </w:r>
    </w:p>
    <w:p>
      <w:pPr>
        <w:spacing w:after="140" w:line="257" w:lineRule="auto"/>
      </w:pPr>
      <w:r>
        <w:rPr>
          <w:rFonts w:ascii="Arial" w:hAnsi="Arial"/>
          <w:b w:val="0"/>
          <w:color w:val="000000"/>
          <w:sz w:val="21"/>
        </w:rPr>
        <w:t>Los resultados de esta revisión sustituyen la suposición de que la revisión local del paquete consolidado acreditaba estos PR individuales. La regresión de CU-09 es una versión distinta de la suite de 41 pruebas ejecutada el 27/10.</w:t>
      </w:r>
    </w:p>
    <w:p>
      <w:r>
        <w:br w:type="page"/>
      </w:r>
    </w:p>
    <w:p>
      <w:pPr>
        <w:pStyle w:val="Ttulo1"/>
        <w:spacing w:before="160" w:after="120"/>
      </w:pPr>
      <w:r>
        <w:rPr>
          <w:rFonts w:ascii="Arial" w:hAnsi="Arial"/>
          <w:b/>
          <w:color w:val="000000"/>
          <w:sz w:val="24"/>
        </w:rPr>
        <w:t>2 Observaciones de CU 08</w:t>
      </w:r>
    </w:p>
    <w:p>
      <w:pPr>
        <w:spacing w:after="140" w:line="257" w:lineRule="auto"/>
      </w:pPr>
      <w:r>
        <w:rPr>
          <w:rFonts w:ascii="Arial" w:hAnsi="Arial"/>
          <w:b w:val="0"/>
          <w:color w:val="000000"/>
          <w:sz w:val="21"/>
        </w:rPr>
        <w:t>PR 9: https://github.com/XlayersCeboso99/TSP_PSPS/pull/9</w:t>
      </w:r>
    </w:p>
    <w:p>
      <w:pPr>
        <w:spacing w:after="140" w:line="257" w:lineRule="auto"/>
      </w:pPr>
      <w:r>
        <w:rPr>
          <w:rFonts w:ascii="Arial" w:hAnsi="Arial"/>
          <w:b w:val="0"/>
          <w:color w:val="000000"/>
          <w:sz w:val="21"/>
        </w:rPr>
        <w:t>Revisión examinada: 348d8371abe8f6151cd0b0344a2919523b7d14b1. Archivos nuevos bajo psps_academy/lib/features/cu08; el proyecto integrado se encuentra bajo Sprint 2/psps_academy.</w:t>
      </w:r>
    </w:p>
    <w:p>
      <w:pPr>
        <w:pStyle w:val="Ttulo2"/>
        <w:spacing w:before="160" w:after="120"/>
      </w:pPr>
      <w:r>
        <w:rPr>
          <w:rFonts w:ascii="Arial" w:hAnsi="Arial"/>
          <w:b/>
          <w:color w:val="000000"/>
          <w:sz w:val="21"/>
        </w:rPr>
        <w:t>REV08 01 Falta conectar los componentes a la aplicación</w:t>
      </w:r>
    </w:p>
    <w:p>
      <w:pPr>
        <w:spacing w:after="140" w:line="257" w:lineRule="auto"/>
      </w:pPr>
      <w:r>
        <w:rPr>
          <w:rFonts w:ascii="Arial" w:hAnsi="Arial"/>
          <w:b w:val="0"/>
          <w:color w:val="000000"/>
          <w:sz w:val="21"/>
        </w:rPr>
        <w:t>Prioridad alta. El PR agrega modelos, motor, pantalla y pruebas aisladas. ActivityStore sigue siendo una interfaz sin adaptador de producción; no se encontró una ruta que construya Cu08ActivitiesPage desde la app ni la conexión con CU-02 y su persistencia real. El README del propio PR enumera esas integraciones como pendientes.</w:t>
      </w:r>
    </w:p>
    <w:p>
      <w:pPr>
        <w:spacing w:after="140" w:line="257" w:lineRule="auto"/>
      </w:pPr>
      <w:r>
        <w:rPr>
          <w:rFonts w:ascii="Arial" w:hAnsi="Arial"/>
          <w:b w:val="0"/>
          <w:color w:val="000000"/>
          <w:sz w:val="21"/>
        </w:rPr>
        <w:t>Efecto: los componentes nuevos del PR no quedan disponibles para el estudiante ni demuestran compartir el estado real de la app. La pantalla ActivitiesScreen que ya existe en la entrega consolidada es otra implementación y no acredita la integración de estos archivos.</w:t>
      </w:r>
    </w:p>
    <w:p>
      <w:pPr>
        <w:spacing w:after="140" w:line="257" w:lineRule="auto"/>
      </w:pPr>
      <w:r>
        <w:rPr>
          <w:rFonts w:ascii="Arial" w:hAnsi="Arial"/>
          <w:b w:val="0"/>
          <w:color w:val="000000"/>
          <w:sz w:val="21"/>
        </w:rPr>
        <w:t>Acción para Marco: resolver si se conecta esta implementación o se elimina la duplicación usando la pantalla existente. Mantener un solo almacenamiento y una sola asignación de recompensas. Integrar en el proyecto Flutter efectivo y comprobar consulta, navegación y persistencia.</w:t>
      </w:r>
    </w:p>
    <w:p>
      <w:pPr>
        <w:pStyle w:val="Ttulo2"/>
        <w:spacing w:before="160" w:after="120"/>
      </w:pPr>
      <w:r>
        <w:rPr>
          <w:rFonts w:ascii="Arial" w:hAnsi="Arial"/>
          <w:b/>
          <w:color w:val="000000"/>
          <w:sz w:val="21"/>
        </w:rPr>
        <w:t>REV08 02 La lista no se actualiza al volver de una actividad</w:t>
      </w:r>
    </w:p>
    <w:p>
      <w:pPr>
        <w:spacing w:after="140" w:line="257" w:lineRule="auto"/>
      </w:pPr>
      <w:r>
        <w:rPr>
          <w:rFonts w:ascii="Arial" w:hAnsi="Arial"/>
          <w:b w:val="0"/>
          <w:color w:val="000000"/>
          <w:sz w:val="21"/>
        </w:rPr>
        <w:t>Prioridad media. En activity_page.dart, líneas 30 a 38 y 91, el Future de actividades realizadas se carga al iniciar y al reintentar un error. El callback de apertura no espera el regreso de CU-02 ni vuelve a leer el estado.</w:t>
      </w:r>
    </w:p>
    <w:p>
      <w:pPr>
        <w:spacing w:after="140" w:line="257" w:lineRule="auto"/>
      </w:pPr>
      <w:r>
        <w:rPr>
          <w:rFonts w:ascii="Arial" w:hAnsi="Arial"/>
          <w:b w:val="0"/>
          <w:color w:val="000000"/>
          <w:sz w:val="21"/>
        </w:rPr>
        <w:t>Reproducción: abrir la lista con una actividad Pendiente; entrar a CU-02; completar y guardar la actividad; volver. El almacén contiene su ID realizado, pero la pantalla sigue mostrando Pendiente. La prueba adicional review_cu08_refresh_test.dart falla porque no encuentra Realizada.</w:t>
      </w:r>
    </w:p>
    <w:p>
      <w:pPr>
        <w:spacing w:after="140" w:line="257" w:lineRule="auto"/>
      </w:pPr>
      <w:r>
        <w:rPr>
          <w:rFonts w:ascii="Arial" w:hAnsi="Arial"/>
          <w:b w:val="0"/>
          <w:color w:val="000000"/>
          <w:sz w:val="21"/>
        </w:rPr>
        <w:t>Acción para Marco: actualizar la consulta al regresar de CU-02 o suscribirse al estado compartido. Conservar la regla de consulta sin escrituras y añadir el caso de regreso a las pruebas del PR.</w:t>
      </w:r>
    </w:p>
    <w:p>
      <w:pPr>
        <w:pStyle w:val="Ttulo2"/>
        <w:spacing w:before="160" w:after="120"/>
      </w:pPr>
      <w:r>
        <w:rPr>
          <w:rFonts w:ascii="Arial" w:hAnsi="Arial"/>
          <w:b/>
          <w:color w:val="000000"/>
          <w:sz w:val="21"/>
        </w:rPr>
        <w:t>Alcance de las pruebas</w:t>
      </w:r>
    </w:p>
    <w:p>
      <w:pPr>
        <w:spacing w:after="140" w:line="257" w:lineRule="auto"/>
      </w:pPr>
      <w:r>
        <w:rPr>
          <w:rFonts w:ascii="Arial" w:hAnsi="Arial"/>
          <w:b w:val="0"/>
          <w:color w:val="000000"/>
          <w:sz w:val="21"/>
        </w:rPr>
        <w:t>Las nueve pruebas originales aprobaron. El PR no incluye pubspec.yaml en su carpeta nueva; se ejecutaron sus cinco archivos Dart sin cambios en un entorno auxiliar con las dependencias fijadas del proyecto integrado. Esto comprueba los componentes aislados y no la integración final.</w:t>
      </w:r>
    </w:p>
    <w:p>
      <w:r>
        <w:br w:type="page"/>
      </w:r>
    </w:p>
    <w:p>
      <w:pPr>
        <w:pStyle w:val="Ttulo1"/>
        <w:spacing w:before="160" w:after="120"/>
      </w:pPr>
      <w:r>
        <w:rPr>
          <w:rFonts w:ascii="Arial" w:hAnsi="Arial"/>
          <w:b/>
          <w:color w:val="000000"/>
          <w:sz w:val="24"/>
        </w:rPr>
        <w:t>3 Observaciones de CU 09</w:t>
      </w:r>
    </w:p>
    <w:p>
      <w:pPr>
        <w:spacing w:after="140" w:line="257" w:lineRule="auto"/>
      </w:pPr>
      <w:r>
        <w:rPr>
          <w:rFonts w:ascii="Arial" w:hAnsi="Arial"/>
          <w:b w:val="0"/>
          <w:color w:val="000000"/>
          <w:sz w:val="21"/>
        </w:rPr>
        <w:t>PR 10: https://github.com/XlayersCeboso99/TSP_PSPS/pull/10</w:t>
      </w:r>
    </w:p>
    <w:p>
      <w:pPr>
        <w:spacing w:after="140" w:line="257" w:lineRule="auto"/>
      </w:pPr>
      <w:r>
        <w:rPr>
          <w:rFonts w:ascii="Arial" w:hAnsi="Arial"/>
          <w:b w:val="0"/>
          <w:color w:val="000000"/>
          <w:sz w:val="21"/>
        </w:rPr>
        <w:t>Revisión examinada: 95187d14224d065d520c4e6dff9498c295836fe4. Merge en main: 606a88a8a1525ae4cb8a59f53ea69cf7756f5668. La prueba y la regresión se ejecutaron sobre el proyecto del PR.</w:t>
      </w:r>
    </w:p>
    <w:p>
      <w:pPr>
        <w:pStyle w:val="Ttulo2"/>
        <w:spacing w:before="160" w:after="120"/>
      </w:pPr>
      <w:r>
        <w:rPr>
          <w:rFonts w:ascii="Arial" w:hAnsi="Arial"/>
          <w:b/>
          <w:color w:val="000000"/>
          <w:sz w:val="21"/>
        </w:rPr>
        <w:t>REV09 01 Desbordamiento en pantalla pequeña</w:t>
      </w:r>
    </w:p>
    <w:p>
      <w:pPr>
        <w:spacing w:after="140" w:line="257" w:lineRule="auto"/>
      </w:pPr>
      <w:r>
        <w:rPr>
          <w:rFonts w:ascii="Arial" w:hAnsi="Arial"/>
          <w:b w:val="0"/>
          <w:color w:val="000000"/>
          <w:sz w:val="21"/>
        </w:rPr>
        <w:t>Prioridad media. CP09-15 falla con una pantalla de 320 × 640 y texto ampliado a 1.4. El diagnóstico identifica un RenderFlex con desbordamiento de 44 píxeles a la derecha en lib/ui/sprint2_screens.dart, línea 387, dentro de la fila Abrir subtema.</w:t>
      </w:r>
    </w:p>
    <w:p>
      <w:pPr>
        <w:spacing w:after="140" w:line="257" w:lineRule="auto"/>
      </w:pPr>
      <w:r>
        <w:rPr>
          <w:rFonts w:ascii="Arial" w:hAnsi="Arial"/>
          <w:b w:val="0"/>
          <w:color w:val="000000"/>
          <w:sz w:val="21"/>
        </w:rPr>
        <w:t>Acción para Pablo: permitir que el texto se ajuste al ancho disponible, por ejemplo con Flexible o Expanded, conservando el acceso al subtema. Repetir CP09-15 y la regresión completa. El análisis estático sin incidencias no sustituye esta comprobación visual.</w:t>
      </w:r>
    </w:p>
    <w:p>
      <w:pPr>
        <w:pStyle w:val="Ttulo2"/>
        <w:spacing w:before="160" w:after="120"/>
      </w:pPr>
      <w:r>
        <w:rPr>
          <w:rFonts w:ascii="Arial" w:hAnsi="Arial"/>
          <w:b/>
          <w:color w:val="000000"/>
          <w:sz w:val="21"/>
        </w:rPr>
        <w:t>REV09 02 El registro de pruebas conserva campos sin completar</w:t>
      </w:r>
    </w:p>
    <w:p>
      <w:pPr>
        <w:spacing w:after="140" w:line="257" w:lineRule="auto"/>
      </w:pPr>
      <w:r>
        <w:rPr>
          <w:rFonts w:ascii="Arial" w:hAnsi="Arial"/>
          <w:b w:val="0"/>
          <w:color w:val="000000"/>
          <w:sz w:val="21"/>
        </w:rPr>
        <w:t>Prioridad media. El README y el WP.14 en Markdown conservan RESULTADO_CU09, RESULTADO_REGRESION, RESULTADO_ANALISIS, RESULTADO_TI09, FECHA_EJECUCION y estados ESTADO. El WP.14 enlaza registros que no se encuentran en esa entrega del PR.</w:t>
      </w:r>
    </w:p>
    <w:p>
      <w:pPr>
        <w:spacing w:after="140" w:line="257" w:lineRule="auto"/>
      </w:pPr>
      <w:r>
        <w:rPr>
          <w:rFonts w:ascii="Arial" w:hAnsi="Arial"/>
          <w:b w:val="0"/>
          <w:color w:val="000000"/>
          <w:sz w:val="21"/>
        </w:rPr>
        <w:t>Acción para Pablo: incorporar resultados y archivos reales, con fecha, revisión y comandos. Esta revisión aporta la ejecución local actual; Android y modo avión deben permanecer pendientes hasta contar con una ejecución y sus evidencias, sin sustituir esos campos por éxitos supuestos.</w:t>
      </w:r>
    </w:p>
    <w:p>
      <w:pPr>
        <w:pStyle w:val="Ttulo2"/>
        <w:spacing w:before="160" w:after="120"/>
      </w:pPr>
      <w:r>
        <w:rPr>
          <w:rFonts w:ascii="Arial" w:hAnsi="Arial"/>
          <w:b/>
          <w:color w:val="000000"/>
          <w:sz w:val="21"/>
        </w:rPr>
        <w:t>REVINT 01 La rama de destino no coincide con el flujo del PSR</w:t>
      </w:r>
    </w:p>
    <w:p>
      <w:pPr>
        <w:spacing w:after="140" w:line="257" w:lineRule="auto"/>
      </w:pPr>
      <w:r>
        <w:rPr>
          <w:rFonts w:ascii="Arial" w:hAnsi="Arial"/>
          <w:b w:val="0"/>
          <w:color w:val="000000"/>
          <w:sz w:val="21"/>
        </w:rPr>
        <w:t>Los PR 9 y 10 apuntan a main; el PSR pide revisión e incorporación en develop. develop continúa en b36d124afbdf0a9b994037ce58491eb1ba278bcc, con la entrega consolidada inicial del PR 3. El commit específico de CU-09 no es ancestro de esa revisión de develop.</w:t>
      </w:r>
    </w:p>
    <w:p>
      <w:pPr>
        <w:spacing w:after="140" w:line="257" w:lineRule="auto"/>
      </w:pPr>
      <w:r>
        <w:rPr>
          <w:rFonts w:ascii="Arial" w:hAnsi="Arial"/>
          <w:b w:val="0"/>
          <w:color w:val="000000"/>
          <w:sz w:val="21"/>
        </w:rPr>
        <w:t>Acción del equipo: acordar y documentar el recorrido de integración. Tras corregir y revisar, incorporar los cambios específicos necesarios a develop sin duplicar componentes. No crear un merge adicional sin comprobar antes las diferencias entre ramas.</w:t>
      </w:r>
    </w:p>
    <w:p>
      <w:r>
        <w:br w:type="page"/>
      </w:r>
    </w:p>
    <w:p>
      <w:pPr>
        <w:pStyle w:val="Ttulo1"/>
        <w:spacing w:before="160" w:after="120"/>
      </w:pPr>
      <w:r>
        <w:rPr>
          <w:rFonts w:ascii="Arial" w:hAnsi="Arial"/>
          <w:b/>
          <w:color w:val="000000"/>
          <w:sz w:val="24"/>
        </w:rPr>
        <w:t>4 Seguimiento para cerrar las tareas de revisión</w:t>
      </w:r>
    </w:p>
    <w:tbl>
      <w:tblPr>
        <w:tblW w:type="auto" w:w="0"/>
        <w:jc w:val="center"/>
        <w:tblLayout w:type="fixed"/>
        <w:tblLook w:firstColumn="1" w:firstRow="1" w:lastColumn="0" w:lastRow="0" w:noHBand="0" w:noVBand="1" w:val="04A0"/>
      </w:tblPr>
      <w:tblGrid>
        <w:gridCol w:w="1224"/>
        <w:gridCol w:w="4104"/>
        <w:gridCol w:w="4032"/>
      </w:tblGrid>
      <w:tr>
        <w:trPr>
          <w:cantSplit/>
          <w:tblHeader/>
        </w:trPr>
        <w:tc>
          <w:tcPr>
            <w:tcW w:type="dxa" w:w="1224"/>
            <w:vAlign w:val="center"/>
            <w:tcBorders>
              <w:top w:val="single" w:sz="4" w:color="D9D9D9"/>
              <w:left w:val="single" w:sz="4" w:color="D9D9D9"/>
              <w:bottom w:val="single" w:sz="4" w:color="D9D9D9"/>
              <w:right w:val="single" w:sz="4" w:color="D9D9D9"/>
            </w:tcBorders>
            <w:shd w:fill="E7EDF1"/>
          </w:tcPr>
          <w:p>
            <w:pPr>
              <w:spacing w:after="80" w:before="60" w:line="247" w:lineRule="auto"/>
            </w:pPr>
            <w:r>
              <w:rPr>
                <w:rFonts w:ascii="Arial" w:hAnsi="Arial"/>
                <w:b/>
                <w:color w:val="000000"/>
                <w:sz w:val="19"/>
              </w:rPr>
              <w:t>Persona</w:t>
            </w:r>
          </w:p>
        </w:tc>
        <w:tc>
          <w:tcPr>
            <w:tcW w:type="dxa" w:w="4104"/>
            <w:vAlign w:val="center"/>
            <w:tcBorders>
              <w:top w:val="single" w:sz="4" w:color="D9D9D9"/>
              <w:left w:val="single" w:sz="4" w:color="D9D9D9"/>
              <w:bottom w:val="single" w:sz="4" w:color="D9D9D9"/>
              <w:right w:val="single" w:sz="4" w:color="D9D9D9"/>
            </w:tcBorders>
            <w:shd w:fill="E7EDF1"/>
          </w:tcPr>
          <w:p>
            <w:pPr>
              <w:spacing w:after="80" w:before="60" w:line="247" w:lineRule="auto"/>
            </w:pPr>
            <w:r>
              <w:rPr>
                <w:rFonts w:ascii="Arial" w:hAnsi="Arial"/>
                <w:b/>
                <w:color w:val="000000"/>
                <w:sz w:val="19"/>
              </w:rPr>
              <w:t>Acción pendiente</w:t>
            </w:r>
          </w:p>
        </w:tc>
        <w:tc>
          <w:tcPr>
            <w:tcW w:type="dxa" w:w="4032"/>
            <w:vAlign w:val="center"/>
            <w:tcBorders>
              <w:top w:val="single" w:sz="4" w:color="D9D9D9"/>
              <w:left w:val="single" w:sz="4" w:color="D9D9D9"/>
              <w:bottom w:val="single" w:sz="4" w:color="D9D9D9"/>
              <w:right w:val="single" w:sz="4" w:color="D9D9D9"/>
            </w:tcBorders>
            <w:shd w:fill="E7EDF1"/>
          </w:tcPr>
          <w:p>
            <w:pPr>
              <w:spacing w:after="80" w:before="60" w:line="247" w:lineRule="auto"/>
            </w:pPr>
            <w:r>
              <w:rPr>
                <w:rFonts w:ascii="Arial" w:hAnsi="Arial"/>
                <w:b/>
                <w:color w:val="000000"/>
                <w:sz w:val="19"/>
              </w:rPr>
              <w:t>Verificación de cierre</w:t>
            </w:r>
          </w:p>
        </w:tc>
      </w:tr>
      <w:tr>
        <w:trPr>
          <w:cantSplit/>
        </w:trPr>
        <w:tc>
          <w:tcPr>
            <w:tcW w:type="dxa" w:w="1224"/>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Marco</w:t>
            </w:r>
          </w:p>
        </w:tc>
        <w:tc>
          <w:tcPr>
            <w:tcW w:type="dxa" w:w="4104"/>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Conectar CU-08 al proyecto real y corregir el refresco al regresar de CU-02.</w:t>
            </w:r>
          </w:p>
        </w:tc>
        <w:tc>
          <w:tcPr>
            <w:tcW w:type="dxa" w:w="4032"/>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Prueba de regreso aprobada y evidencia de navegación y persistencia real.</w:t>
            </w:r>
          </w:p>
        </w:tc>
      </w:tr>
      <w:tr>
        <w:trPr>
          <w:cantSplit/>
        </w:trPr>
        <w:tc>
          <w:tcPr>
            <w:tcW w:type="dxa" w:w="1224"/>
            <w:vAlign w:val="center"/>
            <w:tcBorders>
              <w:top w:val="single" w:sz="4" w:color="D9D9D9"/>
              <w:left w:val="single" w:sz="4" w:color="D9D9D9"/>
              <w:bottom w:val="single" w:sz="4" w:color="D9D9D9"/>
              <w:right w:val="single" w:sz="4" w:color="D9D9D9"/>
            </w:tcBorders>
            <w:shd w:fill="F5F7F9"/>
          </w:tcPr>
          <w:p>
            <w:pPr>
              <w:spacing w:after="80" w:before="60" w:line="247" w:lineRule="auto"/>
            </w:pPr>
            <w:r>
              <w:rPr>
                <w:rFonts w:ascii="Arial" w:hAnsi="Arial"/>
                <w:b w:val="0"/>
                <w:color w:val="000000"/>
                <w:sz w:val="19"/>
              </w:rPr>
              <w:t>Pablo</w:t>
            </w:r>
          </w:p>
        </w:tc>
        <w:tc>
          <w:tcPr>
            <w:tcW w:type="dxa" w:w="4104"/>
            <w:vAlign w:val="center"/>
            <w:tcBorders>
              <w:top w:val="single" w:sz="4" w:color="D9D9D9"/>
              <w:left w:val="single" w:sz="4" w:color="D9D9D9"/>
              <w:bottom w:val="single" w:sz="4" w:color="D9D9D9"/>
              <w:right w:val="single" w:sz="4" w:color="D9D9D9"/>
            </w:tcBorders>
            <w:shd w:fill="F5F7F9"/>
          </w:tcPr>
          <w:p>
            <w:pPr>
              <w:spacing w:after="80" w:before="60" w:line="247" w:lineRule="auto"/>
            </w:pPr>
            <w:r>
              <w:rPr>
                <w:rFonts w:ascii="Arial" w:hAnsi="Arial"/>
                <w:b w:val="0"/>
                <w:color w:val="000000"/>
                <w:sz w:val="19"/>
              </w:rPr>
              <w:t>Corregir el desbordamiento de CU-09 y completar el WP.14 con evidencias.</w:t>
            </w:r>
          </w:p>
        </w:tc>
        <w:tc>
          <w:tcPr>
            <w:tcW w:type="dxa" w:w="4032"/>
            <w:vAlign w:val="center"/>
            <w:tcBorders>
              <w:top w:val="single" w:sz="4" w:color="D9D9D9"/>
              <w:left w:val="single" w:sz="4" w:color="D9D9D9"/>
              <w:bottom w:val="single" w:sz="4" w:color="D9D9D9"/>
              <w:right w:val="single" w:sz="4" w:color="D9D9D9"/>
            </w:tcBorders>
            <w:shd w:fill="F5F7F9"/>
          </w:tcPr>
          <w:p>
            <w:pPr>
              <w:spacing w:after="80" w:before="60" w:line="247" w:lineRule="auto"/>
            </w:pPr>
            <w:r>
              <w:rPr>
                <w:rFonts w:ascii="Arial" w:hAnsi="Arial"/>
                <w:b w:val="0"/>
                <w:color w:val="000000"/>
                <w:sz w:val="19"/>
              </w:rPr>
              <w:t>CP09-15 y regresión aprobadas; documentos sin campos pendientes.</w:t>
            </w:r>
          </w:p>
        </w:tc>
      </w:tr>
      <w:tr>
        <w:trPr>
          <w:cantSplit/>
        </w:trPr>
        <w:tc>
          <w:tcPr>
            <w:tcW w:type="dxa" w:w="1224"/>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Equipo</w:t>
            </w:r>
          </w:p>
        </w:tc>
        <w:tc>
          <w:tcPr>
            <w:tcW w:type="dxa" w:w="4104"/>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Alinear integración de PR 9 y PR 10 con develop.</w:t>
            </w:r>
          </w:p>
        </w:tc>
        <w:tc>
          <w:tcPr>
            <w:tcW w:type="dxa" w:w="4032"/>
            <w:vAlign w:val="center"/>
            <w:tcBorders>
              <w:top w:val="single" w:sz="4" w:color="D9D9D9"/>
              <w:left w:val="single" w:sz="4" w:color="D9D9D9"/>
              <w:bottom w:val="single" w:sz="4" w:color="D9D9D9"/>
              <w:right w:val="single" w:sz="4" w:color="D9D9D9"/>
            </w:tcBorders>
            <w:shd w:fill="FFFFFF"/>
          </w:tcPr>
          <w:p>
            <w:pPr>
              <w:spacing w:after="80" w:before="60" w:line="247" w:lineRule="auto"/>
            </w:pPr>
            <w:r>
              <w:rPr>
                <w:rFonts w:ascii="Arial" w:hAnsi="Arial"/>
                <w:b w:val="0"/>
                <w:color w:val="000000"/>
                <w:sz w:val="19"/>
              </w:rPr>
              <w:t>Cambios necesarios incorporados y comparación de ramas documentada.</w:t>
            </w:r>
          </w:p>
        </w:tc>
      </w:tr>
      <w:tr>
        <w:trPr>
          <w:cantSplit/>
        </w:trPr>
        <w:tc>
          <w:tcPr>
            <w:tcW w:type="dxa" w:w="1224"/>
            <w:vAlign w:val="center"/>
            <w:tcBorders>
              <w:top w:val="single" w:sz="4" w:color="D9D9D9"/>
              <w:left w:val="single" w:sz="4" w:color="D9D9D9"/>
              <w:bottom w:val="single" w:sz="4" w:color="D9D9D9"/>
              <w:right w:val="single" w:sz="4" w:color="D9D9D9"/>
            </w:tcBorders>
            <w:shd w:fill="F5F7F9"/>
          </w:tcPr>
          <w:p>
            <w:pPr>
              <w:spacing w:after="80" w:before="60" w:line="247" w:lineRule="auto"/>
            </w:pPr>
            <w:r>
              <w:rPr>
                <w:rFonts w:ascii="Arial" w:hAnsi="Arial"/>
                <w:b w:val="0"/>
                <w:color w:val="000000"/>
                <w:sz w:val="19"/>
              </w:rPr>
              <w:t>Francisco</w:t>
            </w:r>
          </w:p>
        </w:tc>
        <w:tc>
          <w:tcPr>
            <w:tcW w:type="dxa" w:w="4104"/>
            <w:vAlign w:val="center"/>
            <w:tcBorders>
              <w:top w:val="single" w:sz="4" w:color="D9D9D9"/>
              <w:left w:val="single" w:sz="4" w:color="D9D9D9"/>
              <w:bottom w:val="single" w:sz="4" w:color="D9D9D9"/>
              <w:right w:val="single" w:sz="4" w:color="D9D9D9"/>
            </w:tcBorders>
            <w:shd w:fill="F5F7F9"/>
          </w:tcPr>
          <w:p>
            <w:pPr>
              <w:spacing w:after="80" w:before="60" w:line="247" w:lineRule="auto"/>
            </w:pPr>
            <w:r>
              <w:rPr>
                <w:rFonts w:ascii="Arial" w:hAnsi="Arial"/>
                <w:b w:val="0"/>
                <w:color w:val="000000"/>
                <w:sz w:val="19"/>
              </w:rPr>
              <w:t>Revisar las correcciones, registrar la decisión y sus horas reales.</w:t>
            </w:r>
          </w:p>
        </w:tc>
        <w:tc>
          <w:tcPr>
            <w:tcW w:type="dxa" w:w="4032"/>
            <w:vAlign w:val="center"/>
            <w:tcBorders>
              <w:top w:val="single" w:sz="4" w:color="D9D9D9"/>
              <w:left w:val="single" w:sz="4" w:color="D9D9D9"/>
              <w:bottom w:val="single" w:sz="4" w:color="D9D9D9"/>
              <w:right w:val="single" w:sz="4" w:color="D9D9D9"/>
            </w:tcBorders>
            <w:shd w:fill="F5F7F9"/>
          </w:tcPr>
          <w:p>
            <w:pPr>
              <w:spacing w:after="80" w:before="60" w:line="247" w:lineRule="auto"/>
            </w:pPr>
            <w:r>
              <w:rPr>
                <w:rFonts w:ascii="Arial" w:hAnsi="Arial"/>
                <w:b w:val="0"/>
                <w:color w:val="000000"/>
                <w:sz w:val="19"/>
              </w:rPr>
              <w:t>Registro de revisión trazable a la nueva revisión de cada PR.</w:t>
            </w:r>
          </w:p>
        </w:tc>
      </w:tr>
    </w:tbl>
    <w:p>
      <w:pPr>
        <w:spacing w:after="140" w:line="257" w:lineRule="auto"/>
      </w:pPr>
      <w:r>
        <w:rPr>
          <w:rFonts w:ascii="Arial" w:hAnsi="Arial"/>
          <w:b w:val="0"/>
          <w:color w:val="000000"/>
          <w:sz w:val="21"/>
        </w:rPr>
      </w:r>
    </w:p>
    <w:p>
      <w:pPr>
        <w:spacing w:after="140" w:line="257" w:lineRule="auto"/>
      </w:pPr>
      <w:r>
        <w:rPr>
          <w:rFonts w:ascii="Arial" w:hAnsi="Arial"/>
          <w:b w:val="0"/>
          <w:color w:val="000000"/>
          <w:sz w:val="21"/>
        </w:rPr>
        <w:t>La revisión solicitada en los ID 60 y 68 ya tiene un registro técnico con hallazgos. La aprobación, las acciones correctivas y la verificación de su cierre siguen pendientes. Este documento no afirma una revisión previa al merge del PR 10, porque el PR ya estaba fusionado cuando se examinó.</w:t>
      </w:r>
    </w:p>
    <w:p>
      <w:pPr>
        <w:pStyle w:val="Ttulo2"/>
        <w:spacing w:before="160" w:after="120"/>
      </w:pPr>
      <w:r>
        <w:rPr>
          <w:rFonts w:ascii="Arial" w:hAnsi="Arial"/>
          <w:b/>
          <w:color w:val="000000"/>
          <w:sz w:val="21"/>
        </w:rPr>
        <w:t>4 1 Paquete de evidencias</w:t>
      </w:r>
    </w:p>
    <w:p>
      <w:pPr>
        <w:spacing w:after="140" w:line="257" w:lineRule="auto"/>
      </w:pPr>
      <w:r>
        <w:rPr>
          <w:rFonts w:ascii="Arial" w:hAnsi="Arial"/>
          <w:b w:val="0"/>
          <w:color w:val="000000"/>
          <w:sz w:val="21"/>
        </w:rPr>
        <w:t>El paquete Revision_CU08_CU09_28Oct contiene las salidas de las pruebas, el análisis, el diagnóstico del desbordamiento, el caso adicional de CU-08, el manifiesto de archivos examinados y la consulta de metadatos de GitHub. Los identificadores REV08, REV09 y REVINT son locales a este registro; no sustituyen los IDs de defectos del PSR.</w:t>
      </w:r>
    </w:p>
    <w:p>
      <w:pPr>
        <w:pStyle w:val="Ttulo2"/>
        <w:spacing w:before="160" w:after="120"/>
      </w:pPr>
      <w:r>
        <w:rPr>
          <w:rFonts w:ascii="Arial" w:hAnsi="Arial"/>
          <w:b/>
          <w:color w:val="000000"/>
          <w:sz w:val="21"/>
        </w:rPr>
        <w:t>4 2 Condiciones de la revisión</w:t>
      </w:r>
    </w:p>
    <w:p>
      <w:pPr>
        <w:spacing w:after="140" w:line="257" w:lineRule="auto"/>
      </w:pPr>
      <w:r>
        <w:rPr>
          <w:rFonts w:ascii="Arial" w:hAnsi="Arial"/>
          <w:b w:val="0"/>
          <w:color w:val="000000"/>
          <w:sz w:val="21"/>
        </w:rPr>
        <w:t>No se modificó el código de los PR ni se publicaron mensajes en GitHub. No se ejecutaron pruebas nuevas en Android físico. Los campos de revisión y comentario de ambos PR estaban vacíos en la consulta guardada; eso no acredita aprobaciones externas fuera de GitHub. No se inventaron horas humanas ni firmas.</w:t>
      </w:r>
    </w:p>
    <w:p>
      <w:pPr>
        <w:pStyle w:val="Ttulo2"/>
        <w:spacing w:before="160" w:after="120"/>
      </w:pPr>
      <w:r>
        <w:rPr>
          <w:rFonts w:ascii="Arial" w:hAnsi="Arial"/>
          <w:b/>
          <w:color w:val="000000"/>
          <w:sz w:val="21"/>
        </w:rPr>
        <w:t>4 3 Fuentes examinadas</w:t>
      </w:r>
    </w:p>
    <w:p>
      <w:pPr>
        <w:spacing w:after="140" w:line="257" w:lineRule="auto"/>
      </w:pPr>
      <w:r>
        <w:rPr>
          <w:rFonts w:ascii="Arial" w:hAnsi="Arial"/>
          <w:b w:val="0"/>
          <w:color w:val="000000"/>
          <w:sz w:val="21"/>
        </w:rPr>
        <w:t>GitHub: lista de pull requests, detalle, archivos, reviews, comentarios de revisión y conversación de los PR 9 y 10. Código exportado por commit. PSR Sprint 02 entregado por el usuario, ID 60 y 68. Consultas y ejecuciones del 28/10/2026.</w:t>
      </w:r>
    </w:p>
    <w:p>
      <w:pPr>
        <w:spacing w:after="140" w:line="257" w:lineRule="auto"/>
      </w:pPr>
      <w:r>
        <w:rPr>
          <w:rFonts w:ascii="Arial" w:hAnsi="Arial"/>
          <w:b/>
          <w:color w:val="000000"/>
          <w:sz w:val="21"/>
        </w:rPr>
        <w:t>Resultado recomendado: atender observaciones y verificar las correcciones antes de aprobar el cierre técnico de CU-08 y CU-09.</w:t>
      </w:r>
    </w:p>
    <w:sectPr w:rsidR="00374896">
      <w:footerReference w:type="default" r:id="rId15"/>
      <w:footerReference w:type="first" r:id="rId16"/>
      <w:pgSz w:w="12240" w:h="15840"/>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F5EEE" w14:textId="77777777" w:rsidR="00C75032" w:rsidRDefault="00C75032">
      <w:r>
        <w:separator/>
      </w:r>
    </w:p>
  </w:endnote>
  <w:endnote w:type="continuationSeparator" w:id="0">
    <w:p w14:paraId="7CB6FC9C" w14:textId="77777777" w:rsidR="00C75032" w:rsidRDefault="00C75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8E12" w14:textId="77777777" w:rsidR="00F6023B" w:rsidRPr="003E7120" w:rsidRDefault="00000000">
    <w:pPr>
      <w:jc w:val="center"/>
      <w:rPr>
        <w:lang w:val="es-MX"/>
      </w:rPr>
    </w:pPr>
    <w:r w:rsidRPr="003E7120">
      <w:rPr>
        <w:color w:val="595959"/>
        <w:sz w:val="16"/>
        <w:szCs w:val="16"/>
        <w:lang w:val="es-MX"/>
      </w:rPr>
      <w:t xml:space="preserve">PSPS · Revisión CU 08 y CU 09 · Sprint 02 · Página </w:t>
    </w:r>
    <w:r>
      <w:rPr>
        <w:color w:val="595959"/>
        <w:sz w:val="16"/>
        <w:szCs w:val="16"/>
      </w:rPr>
      <w:fldChar w:fldCharType="begin"/>
    </w:r>
    <w:r w:rsidRPr="003E7120">
      <w:rPr>
        <w:color w:val="595959"/>
        <w:sz w:val="16"/>
        <w:szCs w:val="16"/>
        <w:lang w:val="es-MX"/>
      </w:rPr>
      <w:instrText>PAGE</w:instrText>
    </w:r>
    <w:r>
      <w:rPr>
        <w:color w:val="595959"/>
        <w:sz w:val="16"/>
        <w:szCs w:val="16"/>
      </w:rPr>
      <w:fldChar w:fldCharType="separate"/>
    </w:r>
    <w:r w:rsidR="003E7120" w:rsidRPr="003E7120">
      <w:rPr>
        <w:noProof/>
        <w:color w:val="595959"/>
        <w:sz w:val="16"/>
        <w:szCs w:val="16"/>
        <w:lang w:val="es-MX"/>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FF1F4" w14:textId="77777777" w:rsidR="00211965"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D9443" w14:textId="77777777" w:rsidR="00C75032" w:rsidRDefault="00C75032">
      <w:r>
        <w:separator/>
      </w:r>
    </w:p>
  </w:footnote>
  <w:footnote w:type="continuationSeparator" w:id="0">
    <w:p w14:paraId="25C24D71" w14:textId="77777777" w:rsidR="00C75032" w:rsidRDefault="00C750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71182"/>
    <w:multiLevelType w:val="hybridMultilevel"/>
    <w:tmpl w:val="CEAC4C4C"/>
    <w:lvl w:ilvl="0" w:tplc="7736B4B0">
      <w:start w:val="1"/>
      <w:numFmt w:val="bullet"/>
      <w:lvlText w:val="●"/>
      <w:lvlJc w:val="left"/>
      <w:pPr>
        <w:ind w:left="720" w:hanging="360"/>
      </w:pPr>
    </w:lvl>
    <w:lvl w:ilvl="1" w:tplc="5A3C363C">
      <w:start w:val="1"/>
      <w:numFmt w:val="bullet"/>
      <w:lvlText w:val="○"/>
      <w:lvlJc w:val="left"/>
      <w:pPr>
        <w:ind w:left="1440" w:hanging="360"/>
      </w:pPr>
    </w:lvl>
    <w:lvl w:ilvl="2" w:tplc="0B76F018">
      <w:start w:val="1"/>
      <w:numFmt w:val="bullet"/>
      <w:lvlText w:val="■"/>
      <w:lvlJc w:val="left"/>
      <w:pPr>
        <w:ind w:left="2160" w:hanging="360"/>
      </w:pPr>
    </w:lvl>
    <w:lvl w:ilvl="3" w:tplc="51CA3554">
      <w:start w:val="1"/>
      <w:numFmt w:val="bullet"/>
      <w:lvlText w:val="●"/>
      <w:lvlJc w:val="left"/>
      <w:pPr>
        <w:ind w:left="2880" w:hanging="360"/>
      </w:pPr>
    </w:lvl>
    <w:lvl w:ilvl="4" w:tplc="2F564FF8">
      <w:start w:val="1"/>
      <w:numFmt w:val="bullet"/>
      <w:lvlText w:val="○"/>
      <w:lvlJc w:val="left"/>
      <w:pPr>
        <w:ind w:left="3600" w:hanging="360"/>
      </w:pPr>
    </w:lvl>
    <w:lvl w:ilvl="5" w:tplc="3CACE696">
      <w:start w:val="1"/>
      <w:numFmt w:val="bullet"/>
      <w:lvlText w:val="■"/>
      <w:lvlJc w:val="left"/>
      <w:pPr>
        <w:ind w:left="4320" w:hanging="360"/>
      </w:pPr>
    </w:lvl>
    <w:lvl w:ilvl="6" w:tplc="B1F46F78">
      <w:start w:val="1"/>
      <w:numFmt w:val="bullet"/>
      <w:lvlText w:val="●"/>
      <w:lvlJc w:val="left"/>
      <w:pPr>
        <w:ind w:left="5040" w:hanging="360"/>
      </w:pPr>
    </w:lvl>
    <w:lvl w:ilvl="7" w:tplc="DB3C232E">
      <w:start w:val="1"/>
      <w:numFmt w:val="bullet"/>
      <w:lvlText w:val="●"/>
      <w:lvlJc w:val="left"/>
      <w:pPr>
        <w:ind w:left="5760" w:hanging="360"/>
      </w:pPr>
    </w:lvl>
    <w:lvl w:ilvl="8" w:tplc="0930CF24">
      <w:start w:val="1"/>
      <w:numFmt w:val="bullet"/>
      <w:lvlText w:val="●"/>
      <w:lvlJc w:val="left"/>
      <w:pPr>
        <w:ind w:left="6480" w:hanging="360"/>
      </w:pPr>
    </w:lvl>
  </w:abstractNum>
  <w:abstractNum w:abstractNumId="1" w15:restartNumberingAfterBreak="0">
    <w:nsid w:val="43C64804"/>
    <w:multiLevelType w:val="hybridMultilevel"/>
    <w:tmpl w:val="177C6D42"/>
    <w:lvl w:ilvl="0" w:tplc="DD6876CA">
      <w:start w:val="1"/>
      <w:numFmt w:val="bullet"/>
      <w:lvlText w:val="•"/>
      <w:lvlJc w:val="left"/>
      <w:pPr>
        <w:ind w:left="540" w:hanging="270"/>
      </w:pPr>
    </w:lvl>
    <w:lvl w:ilvl="1" w:tplc="908CAD22">
      <w:numFmt w:val="decimal"/>
      <w:lvlText w:val=""/>
      <w:lvlJc w:val="left"/>
    </w:lvl>
    <w:lvl w:ilvl="2" w:tplc="8B801A0C">
      <w:numFmt w:val="decimal"/>
      <w:lvlText w:val=""/>
      <w:lvlJc w:val="left"/>
    </w:lvl>
    <w:lvl w:ilvl="3" w:tplc="9E0A6F70">
      <w:numFmt w:val="decimal"/>
      <w:lvlText w:val=""/>
      <w:lvlJc w:val="left"/>
    </w:lvl>
    <w:lvl w:ilvl="4" w:tplc="9D2E8204">
      <w:numFmt w:val="decimal"/>
      <w:lvlText w:val=""/>
      <w:lvlJc w:val="left"/>
    </w:lvl>
    <w:lvl w:ilvl="5" w:tplc="741A68EE">
      <w:numFmt w:val="decimal"/>
      <w:lvlText w:val=""/>
      <w:lvlJc w:val="left"/>
    </w:lvl>
    <w:lvl w:ilvl="6" w:tplc="F9B40966">
      <w:numFmt w:val="decimal"/>
      <w:lvlText w:val=""/>
      <w:lvlJc w:val="left"/>
    </w:lvl>
    <w:lvl w:ilvl="7" w:tplc="E3421DAC">
      <w:numFmt w:val="decimal"/>
      <w:lvlText w:val=""/>
      <w:lvlJc w:val="left"/>
    </w:lvl>
    <w:lvl w:ilvl="8" w:tplc="99BE7F72">
      <w:numFmt w:val="decimal"/>
      <w:lvlText w:val=""/>
      <w:lvlJc w:val="left"/>
    </w:lvl>
  </w:abstractNum>
  <w:abstractNum w:abstractNumId="2" w15:restartNumberingAfterBreak="0">
    <w:nsid w:val="73B8228B"/>
    <w:multiLevelType w:val="hybridMultilevel"/>
    <w:tmpl w:val="BD700BDE"/>
    <w:lvl w:ilvl="0" w:tplc="C3ECBCDC">
      <w:start w:val="1"/>
      <w:numFmt w:val="decimal"/>
      <w:lvlText w:val="%1."/>
      <w:lvlJc w:val="left"/>
      <w:pPr>
        <w:ind w:left="540" w:hanging="300"/>
      </w:pPr>
    </w:lvl>
    <w:lvl w:ilvl="1" w:tplc="E6CE2E3E">
      <w:numFmt w:val="decimal"/>
      <w:lvlText w:val=""/>
      <w:lvlJc w:val="left"/>
    </w:lvl>
    <w:lvl w:ilvl="2" w:tplc="6DE2E87C">
      <w:numFmt w:val="decimal"/>
      <w:lvlText w:val=""/>
      <w:lvlJc w:val="left"/>
    </w:lvl>
    <w:lvl w:ilvl="3" w:tplc="9E56B934">
      <w:numFmt w:val="decimal"/>
      <w:lvlText w:val=""/>
      <w:lvlJc w:val="left"/>
    </w:lvl>
    <w:lvl w:ilvl="4" w:tplc="94449F78">
      <w:numFmt w:val="decimal"/>
      <w:lvlText w:val=""/>
      <w:lvlJc w:val="left"/>
    </w:lvl>
    <w:lvl w:ilvl="5" w:tplc="30602DF8">
      <w:numFmt w:val="decimal"/>
      <w:lvlText w:val=""/>
      <w:lvlJc w:val="left"/>
    </w:lvl>
    <w:lvl w:ilvl="6" w:tplc="0804DE0E">
      <w:numFmt w:val="decimal"/>
      <w:lvlText w:val=""/>
      <w:lvlJc w:val="left"/>
    </w:lvl>
    <w:lvl w:ilvl="7" w:tplc="461E766A">
      <w:numFmt w:val="decimal"/>
      <w:lvlText w:val=""/>
      <w:lvlJc w:val="left"/>
    </w:lvl>
    <w:lvl w:ilvl="8" w:tplc="322E5D6C">
      <w:numFmt w:val="decimal"/>
      <w:lvlText w:val=""/>
      <w:lvlJc w:val="left"/>
    </w:lvl>
  </w:abstractNum>
  <w:num w:numId="1" w16cid:durableId="1058212513">
    <w:abstractNumId w:val="0"/>
    <w:lvlOverride w:ilvl="0">
      <w:startOverride w:val="1"/>
    </w:lvlOverride>
  </w:num>
  <w:num w:numId="2" w16cid:durableId="1594237190">
    <w:abstractNumId w:val="2"/>
    <w:lvlOverride w:ilvl="0">
      <w:startOverride w:val="1"/>
    </w:lvlOverride>
  </w:num>
  <w:num w:numId="3" w16cid:durableId="6366843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23B"/>
    <w:rsid w:val="00211965"/>
    <w:rsid w:val="00374896"/>
    <w:rsid w:val="003E7120"/>
    <w:rsid w:val="004A330C"/>
    <w:rsid w:val="00A37B49"/>
    <w:rsid w:val="00C75032"/>
    <w:rsid w:val="00CF0CB2"/>
    <w:rsid w:val="00DD21A9"/>
    <w:rsid w:val="00F6023B"/>
    <w:rsid w:val="00FE3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8457"/>
  <w15:docId w15:val="{3D8A8B88-7DFC-4E6E-A04F-D5D927C95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olor w:val="000000"/>
      <w:sz w:val="21"/>
    </w:rPr>
  </w:style>
  <w:style w:type="paragraph" w:styleId="Ttulo1">
    <w:name w:val="heading 1"/>
    <w:uiPriority w:val="9"/>
    <w:qFormat/>
    <w:pPr>
      <w:outlineLvl w:val="0"/>
    </w:pPr>
    <w:rPr>
      <w:rFonts w:ascii="Arial" w:hAnsi="Arial"/>
      <w:color w:val="000000"/>
      <w:sz w:val="32"/>
      <w:szCs w:val="32"/>
    </w:rPr>
  </w:style>
  <w:style w:type="paragraph" w:styleId="Ttulo2">
    <w:name w:val="heading 2"/>
    <w:uiPriority w:val="9"/>
    <w:semiHidden/>
    <w:unhideWhenUsed/>
    <w:qFormat/>
    <w:pPr>
      <w:outlineLvl w:val="1"/>
    </w:pPr>
    <w:rPr>
      <w:rFonts w:ascii="Arial" w:hAnsi="Arial"/>
      <w:color w:val="00000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rFonts w:ascii="Arial" w:hAnsi="Arial"/>
      <w:color w:val="000000"/>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Caption">
    <w:name w:val="caption"/>
    <w:rPr>
      <w:rFonts w:ascii="Arial" w:hAnsi="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1735</Words>
  <Characters>9892</Characters>
  <Application>Microsoft Office Word</Application>
  <DocSecurity>0</DocSecurity>
  <Lines>82</Lines>
  <Paragraphs>23</Paragraphs>
  <ScaleCrop>false</ScaleCrop>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Valdez García</dc:creator>
  <cp:lastModifiedBy>pablo rivera</cp:lastModifiedBy>
  <cp:revision>6</cp:revision>
  <dcterms:created xsi:type="dcterms:W3CDTF">2026-10-21T02:24:00Z</dcterms:created>
  <dcterms:modified xsi:type="dcterms:W3CDTF">2026-10-22T01:54:00Z</dcterms:modified>
  <dc:title>Revisión de código de CU 08 y CU 09</dc:title>
  <dc:subject>Registro técnico de revisión Sprint 02 con observaciones</dc:subject>
  <dc:description>Versión documental 0.2 para revisión del equipo</dc:description>
</cp:coreProperties>
</file>