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S2-57 | Casos de prueba de CU-08</w:t>
      </w:r>
    </w:p>
    <w:p>
      <w:r>
        <w:rPr>
          <w:b/>
          <w:color w:val="386C8C"/>
          <w:sz w:val="19"/>
        </w:rPr>
        <w:t>Pruebas unitarias y de widgets · WP.14 · Revisión basada en el formato de evidencias de CU-07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 w:val="true"/>
        </w:trPr>
        <w:tc>
          <w:tcPr>
            <w:tcW w:type="dxa" w:w="2232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560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Proyecto</w:t>
            </w:r>
          </w:p>
        </w:tc>
        <w:tc>
          <w:tcPr>
            <w:tcW w:type="dxa" w:w="756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PSPS Academy — aplicación móvil educativa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Actividad</w:t>
            </w:r>
          </w:p>
        </w:tc>
        <w:tc>
          <w:tcPr>
            <w:tcW w:type="dxa" w:w="7560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ID 57 · T08 · Sprint 02 · programada el 26/10/2026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Responsable</w:t>
            </w:r>
          </w:p>
        </w:tc>
        <w:tc>
          <w:tcPr>
            <w:tcW w:type="dxa" w:w="756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Marco Antonio de Jesús Oliva Santos (Developer — colaboración)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Referencias</w:t>
            </w:r>
          </w:p>
        </w:tc>
        <w:tc>
          <w:tcPr>
            <w:tcW w:type="dxa" w:w="7560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ISO/IEC 29110-5-1-1:2025 · SI.04.03 y SI.04.04 (según PSR)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Tiempo planeado</w:t>
            </w:r>
          </w:p>
        </w:tc>
        <w:tc>
          <w:tcPr>
            <w:tcW w:type="dxa" w:w="756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2.00 horas (no equivale a tiempo real)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Estado del registro</w:t>
            </w:r>
          </w:p>
        </w:tc>
        <w:tc>
          <w:tcPr>
            <w:tcW w:type="dxa" w:w="7560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CASOS DISEÑADOS / EJECUCIÓN DE ESTA ACTIVIDAD AÚN SIN ACREDITAR. Completar resultados con logs propios.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Código de origen</w:t>
            </w:r>
          </w:p>
        </w:tc>
        <w:tc>
          <w:tcPr>
            <w:tcW w:type="dxa" w:w="756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Referencia declarada en plantilla original: PR #9, feature/CU-08-actividades, test/cu08_*.dart. Validar commit y rutas efectivas antes de ejecutar.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Objetivo, alcance y criterio de cierre</w:t>
      </w:r>
    </w:p>
    <w:p>
      <w:r>
        <w:t>Comprobar que CU-08 permite consultar actividades realizadas y pendientes, organizadas por módulo y tema, y que abrir una actividad no la marca como completada ni modifica progreso, puntos o logros. Según el documento base, la ejecución de la actividad seleccionada se delega a CU-02.</w:t>
      </w:r>
    </w:p>
    <w:p>
      <w:r>
        <w:t>Las pruebas sobre primera finalización, recompensas, duplicados y guardado se conservan como regresión relacionada con CU-02, integridad del catálogo o persistencia. No deben confundirse con la cobertura principal de consulta de CU-08.</w:t>
      </w:r>
    </w:p>
    <w:p>
      <w:r>
        <w:t>La actividad 57 solo podrá cerrarse después de ejecutar los tests aplicables, guardar evidencia identificable de la versión probada y documentar defectos y correcciones, si los hubo. Las 2.00 horas son planeadas; no representan tiempo realmente invertido.</w:t>
      </w:r>
    </w:p>
    <w:p>
      <w:pPr>
        <w:pStyle w:val="Heading1"/>
      </w:pPr>
      <w:r>
        <w:t>2. Referencias y precaución al reutilizar CU-07</w:t>
      </w:r>
    </w:p>
    <w:p>
      <w:r>
        <w:t>Documentación citada en la plantilla inicial: PSPS_CasosDeUso_Sprint02_TSP_Ago26.pdf (CU-08); PSPS_RegistroDeReunion_MR09_TSP_Ago26.pdf; PSPS_SDS_TSP_Ago26_v0.2. Verificar trazas y versión vigente del repositorio antes de publicar el cierre.</w:t>
      </w:r>
    </w:p>
    <w:p>
      <w:r>
        <w:t>El paquete recibido de Francisco (CU-07) contiene pruebas_cu07.log, regresion_sprint02.log, analisis_estatico.log, ejecuciones.json, fuentes_verificadas.json y un test Dart adicional. Reporta 13 pruebas específicas y 41 de regresión aprobadas, más análisis estático sin incidencias, sobre una revisión local diferente. Es referencia de formato y metodología, NO evidencia de ejecución de S2-57.</w:t>
      </w:r>
    </w:p>
    <w:p>
      <w:r>
        <w:t>Dentro de su regresión aparecen verificaciones de CU-08: consulta sin escrituras, apertura de una actividad agrupada sin completarla y estado de tema sin actividad. Son escenarios recomendables para cotejar con el código que realmente corresponda a CU-08.</w:t>
      </w:r>
    </w:p>
    <w:p>
      <w:pPr>
        <w:pStyle w:val="Heading1"/>
      </w:pPr>
      <w:r>
        <w:t>3. Preparación de las pruebas</w:t>
      </w:r>
    </w:p>
    <w:p>
      <w:r>
        <w:t>Usar un proyecto Flutter completo y ejecutable con pubspec.yaml, dependencias resueltas, archivos de CU-08 y carpeta test/. Identificar la ruta de trabajo, rama, SHA, versiones de Flutter/Dart y nombres reales de los tests. Los stores simulados permiten pruebas aisladas, pero no demuestran persistencia física, ejecución en Android ni integración real con CU-02.</w:t>
      </w:r>
    </w:p>
    <w:p>
      <w:r>
        <w:br w:type="page"/>
      </w:r>
    </w:p>
    <w:p>
      <w:pPr>
        <w:pStyle w:val="Heading1"/>
      </w:pPr>
      <w:r>
        <w:t>4. Casos unitarios y pruebas de regresión (12)</w:t>
      </w:r>
    </w:p>
    <w:p>
      <w:r>
        <w:t>Los ID y escenarios de la plantilla inicial se conservan. La columna «Alcance» permite diferenciar las pruebas directamente relacionadas con CU-08 de las pruebas de regresión. Ningún resultado se considera aprobado sin ejecutar y conservar su 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3197"/>
        <w:gridCol w:w="2909"/>
        <w:gridCol w:w="2448"/>
      </w:tblGrid>
      <w:tr>
        <w:trPr>
          <w:tblHeader w:val="true"/>
        </w:trPr>
        <w:tc>
          <w:tcPr>
            <w:tcW w:type="dxa" w:w="1238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197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Preparación y estímulo</w:t>
            </w:r>
          </w:p>
        </w:tc>
        <w:tc>
          <w:tcPr>
            <w:tcW w:type="dxa" w:w="2909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Resultado esperado</w:t>
            </w:r>
          </w:p>
        </w:tc>
        <w:tc>
          <w:tcPr>
            <w:tcW w:type="dxa" w:w="2448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Traza y alcance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CU08-U01</w:t>
            </w:r>
          </w:p>
        </w:tc>
        <w:tc>
          <w:tcPr>
            <w:tcW w:type="dxa" w:w="3197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Consulta sin escritura — Estado local A-1 realizada; A-2 pendiente; leer 2 veces.</w:t>
            </w:r>
          </w:p>
        </w:tc>
        <w:tc>
          <w:tcPr>
            <w:tcW w:type="dxa" w:w="290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A-1 se identifica como realizada y A-2 como pendiente; ambas lecturas sin escrituras.</w:t>
            </w:r>
          </w:p>
        </w:tc>
        <w:tc>
          <w:tcPr>
            <w:tcW w:type="dxa" w:w="244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RF-09/CA-09A | CU-08 principal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CU08-U02</w:t>
            </w:r>
          </w:p>
        </w:tc>
        <w:tc>
          <w:tcPr>
            <w:tcW w:type="dxa" w:w="3197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Primera finalización — Finalizar A-1 con e1 y e2; catálogo 5.</w:t>
            </w:r>
          </w:p>
        </w:tc>
        <w:tc>
          <w:tcPr>
            <w:tcW w:type="dxa" w:w="290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Realizada; +10; total 10; L-03/U-01; 1 guardado.</w:t>
            </w:r>
          </w:p>
        </w:tc>
        <w:tc>
          <w:tcPr>
            <w:tcW w:type="dxa" w:w="244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RF-03/G-01/G-02/G-03 | Regresión CU-02 / estado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CU08-U03</w:t>
            </w:r>
          </w:p>
        </w:tc>
        <w:tc>
          <w:tcPr>
            <w:tcW w:type="dxa" w:w="3197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Repetición sin duplicados — A-1 ya registrada; intentar completarla otra vez.</w:t>
            </w:r>
          </w:p>
        </w:tc>
        <w:tc>
          <w:tcPr>
            <w:tcW w:type="dxa" w:w="290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0 puntos extra, sin logros/temas nuevos; cero escrituras.</w:t>
            </w:r>
          </w:p>
        </w:tc>
        <w:tc>
          <w:tcPr>
            <w:tcW w:type="dxa" w:w="244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RF-03/G-01 | Regresión CU-02 / estado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CU08-U04</w:t>
            </w:r>
          </w:p>
        </w:tc>
        <w:tc>
          <w:tcPr>
            <w:tcW w:type="dxa" w:w="3197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Intento incompleto — A-1 requiere e1,e2; solo entregar e1.</w:t>
            </w:r>
          </w:p>
        </w:tc>
        <w:tc>
          <w:tcPr>
            <w:tcW w:type="dxa" w:w="290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Sin finalización, puntos, logros ni guardado.</w:t>
            </w:r>
          </w:p>
        </w:tc>
        <w:tc>
          <w:tcPr>
            <w:tcW w:type="dxa" w:w="244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CA-03 | Regresión CU-02 / estado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CU08-U05</w:t>
            </w:r>
          </w:p>
        </w:tc>
        <w:tc>
          <w:tcPr>
            <w:tcW w:type="dxa" w:w="3197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Quinta distinta — Cuatro actividades realizadas; completar A-5.</w:t>
            </w:r>
          </w:p>
        </w:tc>
        <w:tc>
          <w:tcPr>
            <w:tcW w:type="dxa" w:w="290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+10; total 50; L-04 (no L-05 en catálogo de 6).</w:t>
            </w:r>
          </w:p>
        </w:tc>
        <w:tc>
          <w:tcPr>
            <w:tcW w:type="dxa" w:w="244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MR-09/L-04 | Regresión CU-02 / estado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CU08-U06</w:t>
            </w:r>
          </w:p>
        </w:tc>
        <w:tc>
          <w:tcPr>
            <w:tcW w:type="dxa" w:w="3197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Catálogo completo — A-1 realizada; completar A-2 en catálogo de 2.</w:t>
            </w:r>
          </w:p>
        </w:tc>
        <w:tc>
          <w:tcPr>
            <w:tcW w:type="dxa" w:w="290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Total 20 y nuevo logro L-05.</w:t>
            </w:r>
          </w:p>
        </w:tc>
        <w:tc>
          <w:tcPr>
            <w:tcW w:type="dxa" w:w="244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MR-09/L-05 | Regresión CU-02 / estado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CU08-U07</w:t>
            </w:r>
          </w:p>
        </w:tc>
        <w:tc>
          <w:tcPr>
            <w:tcW w:type="dxa" w:w="3197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Error de escritura — Simular excepción al guardar A-1.</w:t>
            </w:r>
          </w:p>
        </w:tc>
        <w:tc>
          <w:tcPr>
            <w:tcW w:type="dxa" w:w="290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Error; no mutar store ni confirmar recompensa.</w:t>
            </w:r>
          </w:p>
        </w:tc>
        <w:tc>
          <w:tcPr>
            <w:tcW w:type="dxa" w:w="244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RF-08 | Regresión CU-02 / estado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CU08-U08</w:t>
            </w:r>
          </w:p>
        </w:tc>
        <w:tc>
          <w:tcPr>
            <w:tcW w:type="dxa" w:w="3197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Concurrencia — Dos finalizaciones simultáneas de A-1.</w:t>
            </w:r>
          </w:p>
        </w:tc>
        <w:tc>
          <w:tcPr>
            <w:tcW w:type="dxa" w:w="290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Solo +10 combinado y un guardado.</w:t>
            </w:r>
          </w:p>
        </w:tc>
        <w:tc>
          <w:tcPr>
            <w:tcW w:type="dxa" w:w="244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G-01/P-02 | Regresión CU-02 / estado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CU08-U09</w:t>
            </w:r>
          </w:p>
        </w:tc>
        <w:tc>
          <w:tcPr>
            <w:tcW w:type="dxa" w:w="3197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ID inexistente — Finalizar A-99, no definido.</w:t>
            </w:r>
          </w:p>
        </w:tc>
        <w:tc>
          <w:tcPr>
            <w:tcW w:type="dxa" w:w="290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Error de argumento y cero escrituras.</w:t>
            </w:r>
          </w:p>
        </w:tc>
        <w:tc>
          <w:tcPr>
            <w:tcW w:type="dxa" w:w="244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Integridad del catálogo | Integridad / soporte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CU08-U10</w:t>
            </w:r>
          </w:p>
        </w:tc>
        <w:tc>
          <w:tcPr>
            <w:tcW w:type="dxa" w:w="3197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ID duplicado — Construir catálogo con dos veces el mismo ID.</w:t>
            </w:r>
          </w:p>
        </w:tc>
        <w:tc>
          <w:tcPr>
            <w:tcW w:type="dxa" w:w="290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Rechazo del catálogo con error de argumento.</w:t>
            </w:r>
          </w:p>
        </w:tc>
        <w:tc>
          <w:tcPr>
            <w:tcW w:type="dxa" w:w="244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Integridad del catálogo | Integridad / soporte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CU08-U11</w:t>
            </w:r>
          </w:p>
        </w:tc>
        <w:tc>
          <w:tcPr>
            <w:tcW w:type="dxa" w:w="3197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Excluir L-10 — Completar A-1.</w:t>
            </w:r>
          </w:p>
        </w:tc>
        <w:tc>
          <w:tcPr>
            <w:tcW w:type="dxa" w:w="290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Ni los nuevos logros ni el estado incluyen L-10.</w:t>
            </w:r>
          </w:p>
        </w:tc>
        <w:tc>
          <w:tcPr>
            <w:tcW w:type="dxa" w:w="244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MR-09/CU-07 | Regresión CU-02 / estado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CU08-U12</w:t>
            </w:r>
          </w:p>
        </w:tc>
        <w:tc>
          <w:tcPr>
            <w:tcW w:type="dxa" w:w="3197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Recuperación en store simulado — Guardar A-1; recrear motor usando mismo store.</w:t>
            </w:r>
          </w:p>
        </w:tc>
        <w:tc>
          <w:tcPr>
            <w:tcW w:type="dxa" w:w="290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A-1 sigue realizada y suma 10; solo un guardado.</w:t>
            </w:r>
          </w:p>
        </w:tc>
        <w:tc>
          <w:tcPr>
            <w:tcW w:type="dxa" w:w="244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RF-08 (doble de prueba) | Regresión CU-02 / estado</w:t>
            </w:r>
          </w:p>
        </w:tc>
      </w:tr>
    </w:tbl>
    <w:p>
      <w:pPr>
        <w:spacing w:after="0"/>
      </w:pPr>
    </w:p>
    <w:p>
      <w:pPr>
        <w:pStyle w:val="Heading1"/>
      </w:pPr>
      <w:r>
        <w:t>5. Casos de widgets (5)</w:t>
      </w:r>
    </w:p>
    <w:p>
      <w:r>
        <w:t>Estos casos constituyen la cobertura visual principal de CU-08. Se conserva el ID de cada caso del documento original.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0"/>
        <w:gridCol w:w="3528"/>
        <w:gridCol w:w="3643"/>
        <w:gridCol w:w="1411"/>
      </w:tblGrid>
      <w:tr>
        <w:trPr>
          <w:tblHeader w:val="true"/>
        </w:trPr>
        <w:tc>
          <w:tcPr>
            <w:tcW w:type="dxa" w:w="1210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528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Escenario / pasos</w:t>
            </w:r>
          </w:p>
        </w:tc>
        <w:tc>
          <w:tcPr>
            <w:tcW w:type="dxa" w:w="3643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Resultado esperado</w:t>
            </w:r>
          </w:p>
        </w:tc>
        <w:tc>
          <w:tcPr>
            <w:tcW w:type="dxa" w:w="1411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Traza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CU08-W01</w:t>
            </w:r>
          </w:p>
        </w:tc>
        <w:tc>
          <w:tcPr>
            <w:tcW w:type="dxa" w:w="352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Vista con realizada y pendiente — Renderizar 2 actividades con A-01 realizada.</w:t>
            </w:r>
          </w:p>
        </w:tc>
        <w:tc>
          <w:tcPr>
            <w:tcW w:type="dxa" w:w="3643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Muestra etiquetas y agrupación; cero escrituras.</w:t>
            </w:r>
          </w:p>
        </w:tc>
        <w:tc>
          <w:tcPr>
            <w:tcW w:type="dxa" w:w="1411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CA-09A</w:t>
            </w:r>
          </w:p>
        </w:tc>
      </w:tr>
      <w:tr>
        <w:trPr>
          <w:cantSplit/>
        </w:trPr>
        <w:tc>
          <w:tcPr>
            <w:tcW w:type="dxa" w:w="1210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CU08-W02</w:t>
            </w:r>
          </w:p>
        </w:tc>
        <w:tc>
          <w:tcPr>
            <w:tcW w:type="dxa" w:w="352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Apertura delegada — Tocar "Actividad 2" en la lista.</w:t>
            </w:r>
          </w:p>
        </w:tc>
        <w:tc>
          <w:tcPr>
            <w:tcW w:type="dxa" w:w="3643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Callback recibe A-02; sin escritura ni premios.</w:t>
            </w:r>
          </w:p>
        </w:tc>
        <w:tc>
          <w:tcPr>
            <w:tcW w:type="dxa" w:w="1411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CU-08 → CU-02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CU08-W03</w:t>
            </w:r>
          </w:p>
        </w:tc>
        <w:tc>
          <w:tcPr>
            <w:tcW w:type="dxa" w:w="352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Estado sin actividades — Mostrar un tema que no tenga actividades configuradas.</w:t>
            </w:r>
          </w:p>
        </w:tc>
        <w:tc>
          <w:tcPr>
            <w:tcW w:type="dxa" w:w="3643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La pantalla muestra estado vacío contextual; no equivale a invalidar un catálogo global.</w:t>
            </w:r>
          </w:p>
        </w:tc>
        <w:tc>
          <w:tcPr>
            <w:tcW w:type="dxa" w:w="1411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CU-08/A2</w:t>
            </w:r>
          </w:p>
        </w:tc>
      </w:tr>
      <w:tr>
        <w:trPr>
          <w:cantSplit/>
        </w:trPr>
        <w:tc>
          <w:tcPr>
            <w:tcW w:type="dxa" w:w="1210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CU08-W04</w:t>
            </w:r>
          </w:p>
        </w:tc>
        <w:tc>
          <w:tcPr>
            <w:tcW w:type="dxa" w:w="352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Error y reintento — Forzar error al leer; activar Reintentar tras resolverlo.</w:t>
            </w:r>
          </w:p>
        </w:tc>
        <w:tc>
          <w:tcPr>
            <w:tcW w:type="dxa" w:w="3643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La pantalla informa el error y ofrece reintento cuando la implementación real lo admita; no confunde fallo de carga con lista vacía.</w:t>
            </w:r>
          </w:p>
        </w:tc>
        <w:tc>
          <w:tcPr>
            <w:tcW w:type="dxa" w:w="1411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CU-08/E1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CU08-W05</w:t>
            </w:r>
          </w:p>
        </w:tc>
        <w:tc>
          <w:tcPr>
            <w:tcW w:type="dxa" w:w="352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Dos módulos — Mostrar actividades en m1/t1 y m2/t3.</w:t>
            </w:r>
          </w:p>
        </w:tc>
        <w:tc>
          <w:tcPr>
            <w:tcW w:type="dxa" w:w="3643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Dos encabezados correctos y actividad visible.</w:t>
            </w:r>
          </w:p>
        </w:tc>
        <w:tc>
          <w:tcPr>
            <w:tcW w:type="dxa" w:w="1411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CA-09A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Matriz de ejecución por caso</w:t>
      </w:r>
    </w:p>
    <w:p>
      <w:r>
        <w:t>Completar después de ejecutar. «Pendiente» significa que este documento todavía no dispone de una evidencia propia cotejada; no constituye un resultado de falla.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"/>
        <w:gridCol w:w="1469"/>
        <w:gridCol w:w="2275"/>
        <w:gridCol w:w="1094"/>
        <w:gridCol w:w="1469"/>
        <w:gridCol w:w="2390"/>
      </w:tblGrid>
      <w:tr>
        <w:trPr>
          <w:tblHeader w:val="true"/>
        </w:trPr>
        <w:tc>
          <w:tcPr>
            <w:tcW w:type="dxa" w:w="1094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469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Ejecución</w:t>
            </w:r>
          </w:p>
        </w:tc>
        <w:tc>
          <w:tcPr>
            <w:tcW w:type="dxa" w:w="2275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1094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469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Ejecución</w:t>
            </w:r>
          </w:p>
        </w:tc>
        <w:tc>
          <w:tcPr>
            <w:tcW w:type="dxa" w:w="2390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4"/>
              </w:rPr>
              <w:t>Evidencia</w:t>
            </w:r>
          </w:p>
        </w:tc>
      </w:tr>
      <w:tr>
        <w:trPr>
          <w:cantSplit/>
        </w:trPr>
        <w:tc>
          <w:tcPr>
            <w:tcW w:type="dxa" w:w="109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CU08-U01</w:t>
            </w:r>
          </w:p>
        </w:tc>
        <w:tc>
          <w:tcPr>
            <w:tcW w:type="dxa" w:w="146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275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  <w:tc>
          <w:tcPr>
            <w:tcW w:type="dxa" w:w="109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CU08-U10</w:t>
            </w:r>
          </w:p>
        </w:tc>
        <w:tc>
          <w:tcPr>
            <w:tcW w:type="dxa" w:w="146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39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109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CU08-U02</w:t>
            </w:r>
          </w:p>
        </w:tc>
        <w:tc>
          <w:tcPr>
            <w:tcW w:type="dxa" w:w="146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275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  <w:tc>
          <w:tcPr>
            <w:tcW w:type="dxa" w:w="109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CU08-U11</w:t>
            </w:r>
          </w:p>
        </w:tc>
        <w:tc>
          <w:tcPr>
            <w:tcW w:type="dxa" w:w="146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390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109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CU08-U03</w:t>
            </w:r>
          </w:p>
        </w:tc>
        <w:tc>
          <w:tcPr>
            <w:tcW w:type="dxa" w:w="146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275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  <w:tc>
          <w:tcPr>
            <w:tcW w:type="dxa" w:w="109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CU08-U12</w:t>
            </w:r>
          </w:p>
        </w:tc>
        <w:tc>
          <w:tcPr>
            <w:tcW w:type="dxa" w:w="146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39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109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CU08-U04</w:t>
            </w:r>
          </w:p>
        </w:tc>
        <w:tc>
          <w:tcPr>
            <w:tcW w:type="dxa" w:w="146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275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  <w:tc>
          <w:tcPr>
            <w:tcW w:type="dxa" w:w="109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CU08-W01</w:t>
            </w:r>
          </w:p>
        </w:tc>
        <w:tc>
          <w:tcPr>
            <w:tcW w:type="dxa" w:w="146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390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109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CU08-U05</w:t>
            </w:r>
          </w:p>
        </w:tc>
        <w:tc>
          <w:tcPr>
            <w:tcW w:type="dxa" w:w="146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275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  <w:tc>
          <w:tcPr>
            <w:tcW w:type="dxa" w:w="109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CU08-W02</w:t>
            </w:r>
          </w:p>
        </w:tc>
        <w:tc>
          <w:tcPr>
            <w:tcW w:type="dxa" w:w="146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39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109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CU08-U06</w:t>
            </w:r>
          </w:p>
        </w:tc>
        <w:tc>
          <w:tcPr>
            <w:tcW w:type="dxa" w:w="146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275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  <w:tc>
          <w:tcPr>
            <w:tcW w:type="dxa" w:w="109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CU08-W03</w:t>
            </w:r>
          </w:p>
        </w:tc>
        <w:tc>
          <w:tcPr>
            <w:tcW w:type="dxa" w:w="146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390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109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CU08-U07</w:t>
            </w:r>
          </w:p>
        </w:tc>
        <w:tc>
          <w:tcPr>
            <w:tcW w:type="dxa" w:w="146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275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  <w:tc>
          <w:tcPr>
            <w:tcW w:type="dxa" w:w="109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CU08-W04</w:t>
            </w:r>
          </w:p>
        </w:tc>
        <w:tc>
          <w:tcPr>
            <w:tcW w:type="dxa" w:w="146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39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109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CU08-U08</w:t>
            </w:r>
          </w:p>
        </w:tc>
        <w:tc>
          <w:tcPr>
            <w:tcW w:type="dxa" w:w="146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275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  <w:tc>
          <w:tcPr>
            <w:tcW w:type="dxa" w:w="109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CU08-W05</w:t>
            </w:r>
          </w:p>
        </w:tc>
        <w:tc>
          <w:tcPr>
            <w:tcW w:type="dxa" w:w="1469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390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</w:tr>
      <w:tr>
        <w:trPr>
          <w:cantSplit/>
        </w:trPr>
        <w:tc>
          <w:tcPr>
            <w:tcW w:type="dxa" w:w="109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CU08-U09</w:t>
            </w:r>
          </w:p>
        </w:tc>
        <w:tc>
          <w:tcPr>
            <w:tcW w:type="dxa" w:w="146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275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  <w:tc>
          <w:tcPr>
            <w:tcW w:type="dxa" w:w="109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469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Por cotejar</w:t>
            </w:r>
          </w:p>
        </w:tc>
        <w:tc>
          <w:tcPr>
            <w:tcW w:type="dxa" w:w="239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4"/>
              </w:rPr>
              <w:t>Pendiente</w:t>
            </w:r>
          </w:p>
        </w:tc>
      </w:tr>
    </w:tbl>
    <w:p>
      <w:pPr>
        <w:spacing w:after="0"/>
      </w:pPr>
    </w:p>
    <w:p>
      <w:pPr>
        <w:pStyle w:val="Heading1"/>
      </w:pPr>
      <w:r>
        <w:t>7. Resumen de ejecución y reproducibilidad</w:t>
      </w:r>
    </w:p>
    <w:p>
      <w:r>
        <w:t>Registrar resultados reales al estilo del informe de CU-07, vinculados a la misma revisión de código. No trasladar al reporte los conteos de pruebas de otras ramas o compañeros.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328"/>
      </w:tblGrid>
      <w:tr>
        <w:trPr>
          <w:tblHeader w:val="true"/>
        </w:trPr>
        <w:tc>
          <w:tcPr>
            <w:tcW w:type="dxa" w:w="4464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Comprobación</w:t>
            </w:r>
          </w:p>
        </w:tc>
        <w:tc>
          <w:tcPr>
            <w:tcW w:type="dxa" w:w="5328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Dato registrado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Fecha y hora local de ejecución</w:t>
            </w:r>
          </w:p>
        </w:tc>
        <w:tc>
          <w:tcPr>
            <w:tcW w:type="dxa" w:w="532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Proyecto Flutter, ruta de trabajo y plataforma</w:t>
            </w:r>
          </w:p>
        </w:tc>
        <w:tc>
          <w:tcPr>
            <w:tcW w:type="dxa" w:w="532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Rama y commit SHA probados</w:t>
            </w:r>
          </w:p>
        </w:tc>
        <w:tc>
          <w:tcPr>
            <w:tcW w:type="dxa" w:w="532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Versión Flutter / Dart</w:t>
            </w:r>
          </w:p>
        </w:tc>
        <w:tc>
          <w:tcPr>
            <w:tcW w:type="dxa" w:w="532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Comando específico unitarias/widgets y archivo log</w:t>
            </w:r>
          </w:p>
        </w:tc>
        <w:tc>
          <w:tcPr>
            <w:tcW w:type="dxa" w:w="532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Casos unitarios / widgets aprobados y fallidos</w:t>
            </w:r>
          </w:p>
        </w:tc>
        <w:tc>
          <w:tcPr>
            <w:tcW w:type="dxa" w:w="532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Regresión completa: total y resultado</w:t>
            </w:r>
          </w:p>
        </w:tc>
        <w:tc>
          <w:tcPr>
            <w:tcW w:type="dxa" w:w="532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flutter analyze: código de salida y log</w:t>
            </w:r>
          </w:p>
        </w:tc>
        <w:tc>
          <w:tcPr>
            <w:tcW w:type="dxa" w:w="532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Revisión y confirmación del equipo</w:t>
            </w:r>
          </w:p>
        </w:tc>
        <w:tc>
          <w:tcPr>
            <w:tcW w:type="dxa" w:w="5328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Tiempo real según PSR</w:t>
            </w:r>
          </w:p>
        </w:tc>
        <w:tc>
          <w:tcPr>
            <w:tcW w:type="dxa" w:w="5328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6"/>
              </w:rPr>
              <w:t>PENDIENTE</w:t>
            </w:r>
          </w:p>
        </w:tc>
      </w:tr>
    </w:tbl>
    <w:p>
      <w:pPr>
        <w:spacing w:after="0"/>
      </w:pPr>
    </w:p>
    <w:p>
      <w:r>
        <w:t>Comandos de referencia desde la raíz del proyecto Flutter, una vez identificados los archivos de test correctos:</w:t>
      </w:r>
    </w:p>
    <w:p>
      <w:pPr>
        <w:ind w:left="360"/>
      </w:pPr>
      <w:r>
        <w:rPr>
          <w:rFonts w:ascii="Consolas" w:hAnsi="Consolas"/>
          <w:sz w:val="16"/>
        </w:rPr>
        <w:t>flutter test --reporter expanded test/</w:t>
      </w:r>
    </w:p>
    <w:p>
      <w:pPr>
        <w:ind w:left="360"/>
      </w:pPr>
      <w:r>
        <w:rPr>
          <w:rFonts w:ascii="Consolas" w:hAnsi="Consolas"/>
          <w:sz w:val="16"/>
        </w:rPr>
        <w:t>flutter analyze</w:t>
      </w:r>
    </w:p>
    <w:p>
      <w:r>
        <w:t>Para ejecutar únicamente CU-08, reemplazar el directorio general por las rutas reales de los archivos de prueba de CU-08. Redirigir las salidas a logs o conservar el registro del CI; registrar siempre los códigos de salida. No declarar pruebas Android, físicas, de red o de integración si no se ejecutaron.</w:t>
      </w:r>
    </w:p>
    <w:p>
      <w:pPr>
        <w:pStyle w:val="Heading1"/>
      </w:pPr>
      <w:r>
        <w:t>8. Registro de defectos y correcciones</w:t>
      </w:r>
    </w:p>
    <w:p>
      <w:r>
        <w:t>Completar una fila por defecto comprobado. Si no se encuentran defectos, consignarlo solamente después de ejecutar las pruebas.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232"/>
        <w:gridCol w:w="3384"/>
        <w:gridCol w:w="2880"/>
      </w:tblGrid>
      <w:tr>
        <w:trPr>
          <w:tblHeader w:val="true"/>
        </w:trPr>
        <w:tc>
          <w:tcPr>
            <w:tcW w:type="dxa" w:w="1296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5"/>
              </w:rPr>
              <w:t>Defecto</w:t>
            </w:r>
          </w:p>
        </w:tc>
        <w:tc>
          <w:tcPr>
            <w:tcW w:type="dxa" w:w="2232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5"/>
              </w:rPr>
              <w:t>Prueba que lo detecta</w:t>
            </w:r>
          </w:p>
        </w:tc>
        <w:tc>
          <w:tcPr>
            <w:tcW w:type="dxa" w:w="3384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5"/>
              </w:rPr>
              <w:t>Cambio / commit</w:t>
            </w:r>
          </w:p>
        </w:tc>
        <w:tc>
          <w:tcPr>
            <w:tcW w:type="dxa" w:w="2880"/>
            <w:shd w:fill="1F3F59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5"/>
              </w:rPr>
              <w:t>Reejecución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5"/>
              </w:rPr>
              <w:t>PENDIENTE</w:t>
            </w:r>
          </w:p>
        </w:tc>
        <w:tc>
          <w:tcPr>
            <w:tcW w:type="dxa" w:w="2232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5"/>
              </w:rPr>
              <w:t>PENDIENTE</w:t>
            </w:r>
          </w:p>
        </w:tc>
        <w:tc>
          <w:tcPr>
            <w:tcW w:type="dxa" w:w="3384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5"/>
              </w:rPr>
              <w:t>PENDIENTE</w:t>
            </w:r>
          </w:p>
        </w:tc>
        <w:tc>
          <w:tcPr>
            <w:tcW w:type="dxa" w:w="2880"/>
            <w:vAlign w:val="center"/>
            <w:shd w:fill="F3F5F6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5"/>
              </w:rPr>
              <w:t>—</w:t>
            </w:r>
          </w:p>
        </w:tc>
        <w:tc>
          <w:tcPr>
            <w:tcW w:type="dxa" w:w="2232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5"/>
              </w:rPr>
              <w:t>—</w:t>
            </w:r>
          </w:p>
        </w:tc>
        <w:tc>
          <w:tcPr>
            <w:tcW w:type="dxa" w:w="3384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5"/>
              </w:rPr>
              <w:t>—</w:t>
            </w:r>
          </w:p>
        </w:tc>
        <w:tc>
          <w:tcPr>
            <w:tcW w:type="dxa" w:w="2880"/>
            <w:vAlign w:val="center"/>
            <w:tcBorders>
              <w:top w:val="single" w:sz="4" w:color="CBD7DE"/>
              <w:left w:val="single" w:sz="4" w:color="CBD7DE"/>
              <w:bottom w:val="single" w:sz="4" w:color="CBD7DE"/>
              <w:right w:val="single" w:sz="4" w:color="CBD7DE"/>
            </w:tcBorders>
          </w:tcPr>
          <w:p>
            <w:pPr>
              <w:spacing w:after="20" w:before="20" w:line="245" w:lineRule="auto"/>
            </w:pPr>
            <w:r>
              <w:rPr>
                <w:sz w:val="15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r>
        <w:t>9. Paquete de evidencia recomendado</w:t>
      </w:r>
    </w:p>
    <w:p>
      <w:r>
        <w:t>Archivos propuestos, solo si se generan: pruebas_cu08.log, regresion_sprint02.log, analisis_estatico.log, ejecuciones.json, fuentes_verificadas.json, resumen_verificacion_cu08.md y tests Dart usados. Registrar versión y código de salida en el resumen.</w:t>
      </w:r>
    </w:p>
    <w:p>
      <w:r>
        <w:t>Son nombres sugeridos, no archivos creados. Dictamen: preparación documental; la actividad 57 permanece abierta hasta contar con resultados y revisión propios.</w:t>
      </w:r>
    </w:p>
    <w:p>
      <w:r>
        <w:br w:type="page"/>
      </w:r>
    </w:p>
    <w:p>
      <w:pPr>
        <w:pStyle w:val="Heading1"/>
      </w:pPr>
      <w:r>
        <w:t>10. Anexo de cotejo con las evidencias de CU-07</w:t>
      </w:r>
    </w:p>
    <w:p>
      <w:r>
        <w:t>Este anexo conserva los 17 casos del documento mejorado y documenta las diferencias frente al paquete de Francisco. El paquete de CU-07 acredita ejecuciones sobre una revisión local distinta; ningún resultado de CU-07 se atribuye a CU-08.</w:t>
      </w:r>
    </w:p>
    <w:p>
      <w:pPr>
        <w:pStyle w:val="Heading2"/>
      </w:pPr>
      <w:r>
        <w:t>10.1 Equivalencia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vAlign w:val="center"/>
            <w:shd w:fill="18395A"/>
          </w:tcPr>
          <w:p>
            <w:r>
              <w:rPr>
                <w:b/>
                <w:color w:val="FFFFFF"/>
                <w:sz w:val="16"/>
              </w:rPr>
              <w:t>Evidencia de CU-07</w:t>
            </w:r>
          </w:p>
        </w:tc>
        <w:tc>
          <w:tcPr>
            <w:tcW w:type="dxa" w:w="3269"/>
            <w:vAlign w:val="center"/>
            <w:shd w:fill="18395A"/>
          </w:tcPr>
          <w:p>
            <w:r>
              <w:rPr>
                <w:b/>
                <w:color w:val="FFFFFF"/>
                <w:sz w:val="16"/>
              </w:rPr>
              <w:t>Equivalente de CU-08</w:t>
            </w:r>
          </w:p>
        </w:tc>
        <w:tc>
          <w:tcPr>
            <w:tcW w:type="dxa" w:w="3269"/>
            <w:vAlign w:val="center"/>
            <w:shd w:fill="18395A"/>
          </w:tcPr>
          <w:p>
            <w:r>
              <w:rPr>
                <w:b/>
                <w:color w:val="FFFFFF"/>
                <w:sz w:val="16"/>
              </w:rPr>
              <w:t>Estado en este paquete</w:t>
            </w:r>
          </w:p>
        </w:tc>
      </w:tr>
      <w:tr>
        <w:tc>
          <w:tcPr>
            <w:tcW w:type="dxa" w:w="3269"/>
            <w:vAlign w:val="center"/>
          </w:tcPr>
          <w:p>
            <w:r>
              <w:rPr>
                <w:sz w:val="16"/>
              </w:rPr>
              <w:t>pruebas_cu07.log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pruebas_cu08.log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No generado: requiere ejecutar tests CU-08</w:t>
            </w:r>
          </w:p>
        </w:tc>
      </w:tr>
      <w:tr>
        <w:tc>
          <w:tcPr>
            <w:tcW w:type="dxa" w:w="3269"/>
            <w:vAlign w:val="center"/>
          </w:tcPr>
          <w:p>
            <w:r>
              <w:rPr>
                <w:sz w:val="16"/>
              </w:rPr>
              <w:t>regresion_sprint02.log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regresion_sprint02.log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No generado: requiere ejecutar test/ completo</w:t>
            </w:r>
          </w:p>
        </w:tc>
      </w:tr>
      <w:tr>
        <w:tc>
          <w:tcPr>
            <w:tcW w:type="dxa" w:w="3269"/>
            <w:vAlign w:val="center"/>
          </w:tcPr>
          <w:p>
            <w:r>
              <w:rPr>
                <w:sz w:val="16"/>
              </w:rPr>
              <w:t>analisis_estatico.log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analisis_estatico.log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No generado: requiere ejecutar flutter analyze</w:t>
            </w:r>
          </w:p>
        </w:tc>
      </w:tr>
      <w:tr>
        <w:tc>
          <w:tcPr>
            <w:tcW w:type="dxa" w:w="3269"/>
            <w:vAlign w:val="center"/>
          </w:tcPr>
          <w:p>
            <w:r>
              <w:rPr>
                <w:sz w:val="16"/>
              </w:rPr>
              <w:t>ejecuciones.json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ejecuciones.json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Se generará en ejecución real, con fecha, comando y salida</w:t>
            </w:r>
          </w:p>
        </w:tc>
      </w:tr>
      <w:tr>
        <w:tc>
          <w:tcPr>
            <w:tcW w:type="dxa" w:w="3269"/>
            <w:vAlign w:val="center"/>
          </w:tcPr>
          <w:p>
            <w:r>
              <w:rPr>
                <w:sz w:val="16"/>
              </w:rPr>
              <w:t>fuentes_verificadas.json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fuentes_verificadas.json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Se generará con SHA-256 del código realmente probado</w:t>
            </w:r>
          </w:p>
        </w:tc>
      </w:tr>
      <w:tr>
        <w:tc>
          <w:tcPr>
            <w:tcW w:type="dxa" w:w="3269"/>
            <w:vAlign w:val="center"/>
          </w:tcPr>
          <w:p>
            <w:r>
              <w:rPr>
                <w:sz w:val="16"/>
              </w:rPr>
              <w:t>review_rewards_regression_test.dart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cu08_activity_engine_test.dart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Disponible; pruebas de recompensas relacionadas con CU-02</w:t>
            </w:r>
          </w:p>
        </w:tc>
      </w:tr>
      <w:tr>
        <w:tc>
          <w:tcPr>
            <w:tcW w:type="dxa" w:w="3269"/>
            <w:vAlign w:val="center"/>
          </w:tcPr>
          <w:p>
            <w:r>
              <w:rPr>
                <w:sz w:val="16"/>
              </w:rPr>
              <w:t>Informe de verificación .md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resumen_verificacion_cu08.md</w:t>
            </w:r>
          </w:p>
        </w:tc>
        <w:tc>
          <w:tcPr>
            <w:tcW w:type="dxa" w:w="3269"/>
            <w:vAlign w:val="center"/>
          </w:tcPr>
          <w:p>
            <w:r>
              <w:rPr>
                <w:sz w:val="16"/>
              </w:rPr>
              <w:t>Plantilla: completar tras resultados reales</w:t>
            </w:r>
          </w:p>
        </w:tc>
      </w:tr>
    </w:tbl>
    <w:p>
      <w:pPr>
        <w:pStyle w:val="Heading2"/>
      </w:pPr>
      <w:r>
        <w:t>10.2 Observaciones a resolver</w:t>
      </w:r>
    </w:p>
    <w:p>
      <w:pPr>
        <w:pStyle w:val="ListBullet"/>
      </w:pPr>
      <w:r>
        <w:t>CU08-W03: la prueba Dart preparada revisa la lista global de actividades vacía; el criterio de CU-08 contempla también un tema sin actividades. Se requiere verificar o añadir la variante contextual antes de darla por cubierta.</w:t>
      </w:r>
    </w:p>
    <w:p>
      <w:pPr>
        <w:pStyle w:val="ListBullet"/>
      </w:pPr>
      <w:r>
        <w:t>CU08-U12: la recuperación ocurre en un store en memoria, no demuestra persistencia en disco ni recuperación al reiniciar la aplicación Android.</w:t>
      </w:r>
    </w:p>
    <w:p>
      <w:pPr>
        <w:pStyle w:val="ListBullet"/>
      </w:pPr>
      <w:r>
        <w:t>Las 12 pruebas unitarias incluyen regresión de CU-02/G-01 y validaciones del catálogo; la cobertura principal de CU-08 es lectura, agrupación, estados y navegación, principalmente CU08-U01 y CU08-W01 a W05.</w:t>
      </w:r>
    </w:p>
    <w:p>
      <w:pPr>
        <w:pStyle w:val="ListBullet"/>
      </w:pPr>
      <w:r>
        <w:t>La integración con el controlador y almacenamiento real, los efectos visuales en la aplicación y las pruebas Android no están demostrados por los mocks unitarios.</w:t>
      </w:r>
    </w:p>
    <w:p>
      <w:pPr>
        <w:pStyle w:val="ListBullet"/>
      </w:pPr>
      <w:r>
        <w:t>La MR-09 aprobó 10 logros y excluyó L-10; no debe reintroducirse L-10 ni considerarse que el repaso concede premios.</w:t>
      </w:r>
    </w:p>
    <w:p>
      <w:pPr>
        <w:pStyle w:val="ListBullet"/>
      </w:pPr>
      <w:r>
        <w:t>La ejecución y los defectos reales deben quedar ligados al commit SHA de CU-08, fecha, SDK, comando, código de salida y logs propios.</w:t>
      </w:r>
    </w:p>
    <w:p>
      <w:pPr>
        <w:pStyle w:val="Heading2"/>
      </w:pPr>
      <w:r>
        <w:t>10.3 Criterio de cierre de la actividad 57</w:t>
      </w:r>
    </w:p>
    <w:p>
      <w:r>
        <w:t>Cerrar únicamente cuando existan resultados reales de pruebas específicas, regresión y análisis estático; manifiesto SHA-256 del código probado; registro de defectos/correcciones verificables; revisión del equipo; y horas efectivas consignadas en el PSR. Si una prueba falla, registrar el defecto y su reejecución sin sustituir el resultado previo.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09" w:right="1051" w:bottom="994" w:left="1051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6E74"/>
        <w:sz w:val="14"/>
      </w:rPr>
      <w:t>PSPS · S2-57 · CU-08 · Casos de prueba y evidencia · WP.14 · Versión de preparación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b/>
        <w:color w:val="43657E"/>
        <w:sz w:val="16"/>
      </w:rPr>
      <w:t>UAZ  |  Equipo PSPS  |  PSPS Academy  |  Sprint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30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84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84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B384C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S2-57 | Casos de prueba CU-08 — Revisión basada en evidencias CU-07</dc:title>
  <dc:subject>Sprint 02 - PSPS Academy - preparación y registro WP.14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