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00E69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УДК 004.021 : 004.45</w:t>
      </w:r>
      <w:r>
        <w:rPr>
          <w:sz w:val="28"/>
          <w:szCs w:val="28"/>
        </w:rPr>
      </w:r>
    </w:p>
    <w:p w14:paraId="257D3001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ПРОГНОЗИРОВАНИЕ ДЕГРАДАЦИИ СЕРВЕРНОГО ОБОРУДОВАНИЯ НА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 ОСНОВЕ АДАПТИВНОГО АНСАМБЛИРОВАНИЯ МОДЕЛЕЙ SARIMA И LSTM</w:t>
      </w:r>
      <w:r>
        <w:rPr>
          <w:sz w:val="28"/>
          <w:szCs w:val="28"/>
        </w:rPr>
      </w:r>
    </w:p>
    <w:p w14:paraId="1FBFCA7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Аннотация.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В статье рассматривается проблема предиктивной диагностики состояния серверного оборудования в условиях гетерогенных нагрузок. Показано, что классические системы мониторинга, основанные на статических порогах, генерируют избыточное количество ложных сраба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тываний и не способны выявлять скрытые паттерны деградации аппаратных компонентов. Предложена интегральная математическая модель, объединяющая статистический подход (SARIMA) и нейросетевое моделирование (LSTM) с использованием механизма адаптивного взвешив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ания. Доказано, что эксплуатационные метрики имеют различную природу: загрузка процессора и сети подвержена строгой сезонности, в то время как деградация SSD-накопителей носит нелинейный характер. Вычислительный эксперимент на базе метрик хоста Hyper-V и м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ассива MEGARAID подтвердил, что предложенная гибридная модель превосходит изолированные алгоритмы, снижая среднеквадратическую ошибку (RMSE) на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8-24%.</w:t>
      </w:r>
      <w:r>
        <w:rPr>
          <w:sz w:val="28"/>
          <w:szCs w:val="28"/>
        </w:rPr>
      </w:r>
    </w:p>
    <w:p w14:paraId="059E484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Ключевые слова: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предиктивная диагностика, временные ряды, машинное обучение, SARIMA, LSTM, серверное оборудование, Hyper-V, деградация SSD.</w:t>
      </w:r>
      <w:r>
        <w:rPr>
          <w:sz w:val="28"/>
          <w:szCs w:val="28"/>
        </w:rPr>
      </w:r>
      <w:r/>
    </w:p>
    <w:p w14:paraId="257E003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ВВЕДЕНИЕ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Обеспечение отказоустойчивости современной ИТ-инфраструктуры является критически важной задачей для непрерывности бизнес-процессов. С переходом к плотной виртуализации (на базе гипервизоров, таких как Microsoft Hyper-V) цена отказа одного физического серве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 многократно возросла, так как его остановка приводит к недоступности десятков виртуальных сервисов.</w:t>
      </w:r>
      <w:r>
        <w:rPr>
          <w:sz w:val="28"/>
          <w:szCs w:val="28"/>
        </w:rPr>
      </w:r>
    </w:p>
    <w:p w14:paraId="7D8EB68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Традиционный подход к управлению инцидентами опирается на реактивные системы мониторинга (Zabbix, PRTG, Prometheus). Данные системы функционируют на основе статических пороговых значений (например, генерация оповещения при загрузке CPU &gt; 90% или Latency &gt;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50 мс). Практика показывает, что такой подход обладает двумя критическими недостатками. Во-первых, он порождает эффект «усталости от предупреждений» (alert fatigue) из-за огромного числа ложных срабатываний во время штатных пиков нагрузки. Во-вторых, стати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ческие пороги не позволяют выявить ползучую деградацию оборудования на ранних стадиях, когда метрики еще находятся в пределах нормы, но их динамика уже свидетельствует о скором отказе.</w:t>
      </w:r>
      <w:r>
        <w:rPr>
          <w:sz w:val="28"/>
          <w:szCs w:val="28"/>
        </w:rPr>
      </w:r>
    </w:p>
    <w:p w14:paraId="427BBF3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решения этой проблемы необходим переход от реактивного мониторинга к предиктивному обслуживанию (Predictive Maintenance) на основе анализа временных рядов. Однако эксплуатационные метрики сервера имеют принципиально разную математическую природу. Нагру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зка на вычислительные ядра (CPU) и сетевые интерфейсы, как правило, обусловлена поведением пользователей и имеет ярко выраженную суточную и недельную сезонность. Напротив, износ аппаратных компонентов, в частности деградация ячеек памяти NAND в SSD-накопит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елях массивов MEGARAID, происходит нелинейно: накопитель может длительное время демонстрировать стабильные показатели, после чего происходит лавинообразный рост задержек из-за исчерпания резервных блоков (Over-provisioning).</w:t>
      </w:r>
      <w:r>
        <w:rPr>
          <w:sz w:val="28"/>
          <w:szCs w:val="28"/>
        </w:rPr>
      </w:r>
    </w:p>
    <w:p w14:paraId="65D539B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Целью данного исследования является разработка и программная реализация адаптивной гибридной модели прогнозирования, способной с высокой точностью предсказывать как линейные сезонные колебания, так и нелинейные паттерны деградации серверного оборудования.</w:t>
      </w:r>
      <w:r>
        <w:rPr>
          <w:sz w:val="28"/>
          <w:szCs w:val="28"/>
        </w:rPr>
      </w:r>
    </w:p>
    <w:p w14:paraId="6170EB8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МАТЕМАТИЧЕСКАЯ МОДЕЛЬ АДАПТИВНОГО АНСАМБЛИРОВАНИЯ</w:t>
      </w:r>
      <w:r>
        <w:rPr>
          <w:sz w:val="28"/>
          <w:szCs w:val="28"/>
        </w:rPr>
      </w:r>
    </w:p>
    <w:p w14:paraId="70EA7B2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Поскольку ни одна изолированная математическая модель не способна одинаково эффективно обрабатывать гетерогенные метрики, в работе предложено использовать ансамбль из классической статистической модели и рекуррентной нейронной сети.</w:t>
      </w:r>
      <w:r>
        <w:rPr>
          <w:sz w:val="28"/>
          <w:szCs w:val="28"/>
        </w:rPr>
      </w:r>
      <w:r/>
    </w:p>
    <w:p w14:paraId="6F4A00D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1. Линейное прогнозирование сезонных метрик (SARIMA)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метрик, обладающих строгой цикличностью (трафик, CPU), оптимальным выбором является сезонная интегрированная модель авторегрессии — скользящего среднего SARIMA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</w:r>
      <m:oMath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</w:rPr>
          <m:rPr/>
          <m:t>𝑝</m:t>
        </m:r>
        <m:r>
          <w:rPr>
            <w:sz w:val="28"/>
            <w:szCs w:val="28"/>
          </w:rPr>
          <m:rPr/>
          <m:t>,</m:t>
        </m:r>
        <m:r>
          <w:rPr>
            <w:sz w:val="28"/>
            <w:szCs w:val="28"/>
          </w:rPr>
          <m:rPr/>
          <m:t>𝑑</m:t>
        </m:r>
        <m:r>
          <w:rPr>
            <w:sz w:val="28"/>
            <w:szCs w:val="28"/>
          </w:rPr>
          <m:rPr/>
          <m:t>,</m:t>
        </m:r>
        <m:r>
          <w:rPr>
            <w:sz w:val="28"/>
            <w:szCs w:val="28"/>
          </w:rPr>
          <m:rPr/>
          <m:t>𝑞</m:t>
        </m:r>
        <m:r>
          <w:rPr>
            <w:sz w:val="28"/>
            <w:szCs w:val="28"/>
          </w:rPr>
          <m:rPr/>
          <m:t>)</m:t>
        </m:r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</w:rPr>
          <m:rPr/>
          <m:t>𝑃</m:t>
        </m:r>
        <m:r>
          <w:rPr>
            <w:sz w:val="28"/>
            <w:szCs w:val="28"/>
          </w:rPr>
          <m:rPr/>
          <m:t>,</m:t>
        </m:r>
        <m:r>
          <w:rPr>
            <w:sz w:val="28"/>
            <w:szCs w:val="28"/>
          </w:rPr>
          <m:rPr/>
          <m:t>𝐷</m:t>
        </m:r>
        <m:r>
          <w:rPr>
            <w:sz w:val="28"/>
            <w:szCs w:val="28"/>
          </w:rPr>
          <m:rPr/>
          <m:t>,</m:t>
        </m:r>
        <m:r>
          <w:rPr>
            <w:sz w:val="28"/>
            <w:szCs w:val="28"/>
          </w:rPr>
          <m:rPr/>
          <m:t>𝑄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)</m:t>
            </m:r>
          </m:e>
          <m:sub>
            <m:r>
              <w:rPr>
                <w:sz w:val="28"/>
                <w:szCs w:val="28"/>
              </w:rPr>
              <m:rPr/>
              <m:t>𝑠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. Данная модель отлично справляется с экстраполяцией стационарных и сезонных трендов при минимальных вычислительных затратах.</w:t>
        <w:br/>
        <w:t xml:space="preserve">Математически модель описывается следующим уравнением:</w:t>
      </w:r>
      <w:r>
        <w:rPr>
          <w:rFonts w:ascii="Courier New" w:hAnsi="Courier New" w:eastAsia="Courier New" w:cs="Courier New"/>
          <w:color w:val="000000"/>
          <w:sz w:val="28"/>
          <w:szCs w:val="28"/>
        </w:rPr>
      </w:r>
    </w:p>
    <w:p w14:paraId="7D5CFE3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center"/>
        <w:rPr>
          <w:rFonts w:ascii="Courier New" w:hAnsi="Courier New" w:eastAsia="Courier New" w:cs="Courier New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Φ</m:t>
            </m:r>
          </m:e>
          <m:sub>
            <m:r>
              <w:rPr>
                <w:sz w:val="28"/>
                <w:szCs w:val="28"/>
              </w:rPr>
              <m:rPr/>
              <m:t>𝑃</m:t>
            </m:r>
          </m:sub>
        </m:sSub>
        <m:r>
          <w:rPr>
            <w:sz w:val="28"/>
            <w:szCs w:val="28"/>
          </w:rPr>
          <m:rPr/>
          <m:t>(</m:t>
        </m:r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𝐵</m:t>
            </m:r>
          </m:e>
          <m:sup>
            <m:r>
              <w:rPr>
                <w:sz w:val="28"/>
                <w:szCs w:val="28"/>
              </w:rPr>
              <m:rPr/>
              <m:t>𝑠</m:t>
            </m:r>
          </m:sup>
        </m:sSup>
        <m:r>
          <w:rPr>
            <w:sz w:val="28"/>
            <w:szCs w:val="28"/>
          </w:rPr>
          <m:rPr/>
          <m:t>)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𝜙</m:t>
            </m:r>
          </m:e>
          <m:sub>
            <m:r>
              <w:rPr>
                <w:sz w:val="28"/>
                <w:szCs w:val="28"/>
              </w:rPr>
              <m:rPr/>
              <m:t>𝑝</m:t>
            </m:r>
          </m:sub>
        </m:sSub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</w:rPr>
          <m:rPr/>
          <m:t>𝐵</m:t>
        </m:r>
        <m:r>
          <w:rPr>
            <w:sz w:val="28"/>
            <w:szCs w:val="28"/>
          </w:rPr>
          <m:rPr/>
          <m:t>)</m:t>
        </m:r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</w:rPr>
          <m:rPr/>
          <m:t>1</m:t>
        </m:r>
        <m:r>
          <w:rPr>
            <w:sz w:val="28"/>
            <w:szCs w:val="28"/>
          </w:rPr>
          <m:rPr/>
          <m:t>−</m:t>
        </m:r>
        <m:r>
          <w:rPr>
            <w:sz w:val="28"/>
            <w:szCs w:val="28"/>
          </w:rPr>
          <m:rPr/>
          <m:t>𝐵</m:t>
        </m:r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)</m:t>
            </m:r>
          </m:e>
          <m:sup>
            <m:r>
              <w:rPr>
                <w:sz w:val="28"/>
                <w:szCs w:val="28"/>
              </w:rPr>
              <m:rPr/>
              <m:t>𝑑</m:t>
            </m:r>
          </m:sup>
        </m:sSup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</w:rPr>
          <m:rPr/>
          <m:t>1</m:t>
        </m:r>
        <m:r>
          <w:rPr>
            <w:sz w:val="28"/>
            <w:szCs w:val="28"/>
          </w:rPr>
          <m:rPr/>
          <m:t>−</m:t>
        </m:r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𝐵</m:t>
            </m:r>
          </m:e>
          <m:sup>
            <m:r>
              <w:rPr>
                <w:sz w:val="28"/>
                <w:szCs w:val="28"/>
              </w:rPr>
              <m:rPr/>
              <m:t>𝑠</m:t>
            </m:r>
          </m:sup>
        </m:sSup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)</m:t>
            </m:r>
          </m:e>
          <m:sup>
            <m:r>
              <w:rPr>
                <w:sz w:val="28"/>
                <w:szCs w:val="28"/>
              </w:rPr>
              <m:rPr/>
              <m:t>𝐷</m:t>
            </m:r>
          </m:sup>
        </m:sSup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𝑋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  <m:r>
          <w:rPr>
            <w:sz w:val="28"/>
            <w:szCs w:val="28"/>
          </w:rPr>
          <m:rPr/>
          <m:t>=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Θ</m:t>
            </m:r>
          </m:e>
          <m:sub>
            <m:r>
              <w:rPr>
                <w:sz w:val="28"/>
                <w:szCs w:val="28"/>
              </w:rPr>
              <m:rPr/>
              <m:t>𝑄</m:t>
            </m:r>
          </m:sub>
        </m:sSub>
        <m:r>
          <w:rPr>
            <w:sz w:val="28"/>
            <w:szCs w:val="28"/>
          </w:rPr>
          <m:rPr/>
          <m:t>(</m:t>
        </m:r>
        <m:sSup>
          <m:sSupPr>
            <m:ctrlPr>
              <w:rPr>
                <w:rFonts w:ascii="Cambria Math" w:hAnsi="Cambria Math" w:eastAsia="Cambria Math" w:cs="Cambria Math"/>
                <w:sz w:val="28"/>
              </w:rPr>
            </m:ctrlPr>
          </m:sSupPr>
          <m:e>
            <m:r>
              <w:rPr>
                <w:sz w:val="28"/>
                <w:szCs w:val="28"/>
              </w:rPr>
              <m:rPr/>
              <m:t>𝐵</m:t>
            </m:r>
          </m:e>
          <m:sup>
            <m:r>
              <w:rPr>
                <w:sz w:val="28"/>
                <w:szCs w:val="28"/>
              </w:rPr>
              <m:rPr/>
              <m:t>𝑠</m:t>
            </m:r>
          </m:sup>
        </m:sSup>
        <m:r>
          <w:rPr>
            <w:sz w:val="28"/>
            <w:szCs w:val="28"/>
          </w:rPr>
          <m:rPr/>
          <m:t>)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𝜃</m:t>
            </m:r>
          </m:e>
          <m:sub>
            <m:r>
              <w:rPr>
                <w:sz w:val="28"/>
                <w:szCs w:val="28"/>
              </w:rPr>
              <m:rPr/>
              <m:t>𝑞</m:t>
            </m:r>
          </m:sub>
        </m:sSub>
        <m:r>
          <w:rPr>
            <w:sz w:val="28"/>
            <w:szCs w:val="28"/>
          </w:rPr>
          <m:rPr/>
          <m:t>(</m:t>
        </m:r>
        <m:r>
          <w:rPr>
            <w:sz w:val="28"/>
            <w:szCs w:val="28"/>
          </w:rPr>
          <m:rPr/>
          <m:t>𝐵</m:t>
        </m:r>
        <m:r>
          <w:rPr>
            <w:sz w:val="28"/>
            <w:szCs w:val="28"/>
          </w:rPr>
          <m:rPr/>
          <m:t>)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𝜖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    </w:t>
      </w:r>
      <w:r>
        <w:rPr>
          <w:sz w:val="28"/>
          <w:szCs w:val="28"/>
        </w:rPr>
      </w:r>
      <w:r/>
    </w:p>
    <w:p w14:paraId="38FBCC9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где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𝑋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текущее значение метрики;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sz w:val="28"/>
          <w:szCs w:val="28"/>
        </w:rPr>
      </w:r>
      <w:r/>
      <m:oMath>
        <m:r>
          <w:rPr>
            <w:sz w:val="28"/>
            <w:szCs w:val="28"/>
          </w:rPr>
          <m:rPr/>
          <m:t>𝐵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оператор обратного сдвига </w:t>
      </w:r>
      <m:oMath>
        <m:r>
          <w:rPr>
            <w:sz w:val="28"/>
            <w:szCs w:val="28"/>
          </w:rPr>
          <m:rPr/>
          <m:t>(𝐵</m:t>
        </m:r>
        <m:r>
          <w:rPr>
            <w:rFonts w:ascii="Cambria Math" w:hAnsi="Cambria Math" w:eastAsia="Cambria Math" w:cs="Cambria Math"/>
            <w:sz w:val="28"/>
            <w:szCs w:val="28"/>
          </w:rPr>
          <m:rPr/>
          <m:t>=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ascii="Cambria Math" w:hAnsi="Cambria Math" w:eastAsia="Cambria Math" w:cs="Cambria Math"/>
                <w:sz w:val="28"/>
                <w:szCs w:val="28"/>
              </w:rPr>
              <m:rPr/>
              <m:t>𝑋</m:t>
            </m:r>
          </m:e>
          <m:sub>
            <m:r>
              <w:rPr>
                <w:rFonts w:ascii="Cambria Math" w:hAnsi="Cambria Math" w:eastAsia="Cambria Math" w:cs="Cambria Math"/>
                <w:sz w:val="28"/>
                <w:szCs w:val="28"/>
              </w:rPr>
              <m:rPr/>
              <m:t>𝑡−1</m:t>
            </m:r>
          </m:sub>
        </m:sSub>
        <m:r>
          <w:rPr>
            <w:rFonts w:ascii="Cambria Math" w:hAnsi="Cambria Math" w:eastAsia="Cambria Math" w:cs="Cambria Math"/>
            <w:sz w:val="28"/>
            <w:szCs w:val="28"/>
          </w:rPr>
          <m:rPr/>
          <m:t>)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ascii="Cambria Math" w:hAnsi="Cambria Math" w:eastAsia="Cambria Math" w:cs="Cambria Math"/>
                <w:sz w:val="28"/>
                <w:szCs w:val="28"/>
              </w:rPr>
              <m:rPr/>
              <m:t>𝑋</m:t>
            </m:r>
          </m:e>
          <m:sub>
            <m:r>
              <w:rPr>
                <w:rFonts w:ascii="Cambria Math" w:hAnsi="Cambria Math" w:eastAsia="Cambria Math" w:cs="Cambria Math"/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;</w:t>
      </w:r>
      <w:r/>
      <m:oMath>
        <m:r>
          <w:rPr>
            <w:sz w:val="28"/>
            <w:szCs w:val="28"/>
          </w:rPr>
          <m:rPr/>
          <m:t>𝑠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период сезонности;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𝜙</m:t>
            </m:r>
          </m:e>
          <m:sub>
            <m:r>
              <w:rPr>
                <w:sz w:val="28"/>
                <w:szCs w:val="28"/>
              </w:rPr>
              <m:rPr/>
              <m:t>𝑝</m:t>
            </m:r>
          </m:sub>
        </m:sSub>
        <m:r>
          <w:rPr>
            <w:sz w:val="28"/>
            <w:szCs w:val="28"/>
          </w:rPr>
          <m:rPr/>
          <m:t>,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Φ</m:t>
            </m:r>
          </m:e>
          <m:sub>
            <m:r>
              <w:rPr>
                <w:sz w:val="28"/>
                <w:szCs w:val="28"/>
              </w:rPr>
              <m:rPr/>
              <m:t>𝑃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полиномы авторегрессии;</w:t>
      </w:r>
      <w:r/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𝜃</m:t>
            </m:r>
          </m:e>
          <m:sub>
            <m:r>
              <w:rPr>
                <w:sz w:val="28"/>
                <w:szCs w:val="28"/>
              </w:rPr>
              <m:rPr/>
              <m:t>𝑞</m:t>
            </m:r>
          </m:sub>
        </m:sSub>
        <m:r>
          <w:rPr>
            <w:sz w:val="28"/>
            <w:szCs w:val="28"/>
          </w:rPr>
          <m:rPr/>
          <m:t>,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Θ</m:t>
            </m:r>
          </m:e>
          <m:sub>
            <m:r>
              <w:rPr>
                <w:sz w:val="28"/>
                <w:szCs w:val="28"/>
              </w:rPr>
              <m:rPr/>
              <m:t>𝑄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полиномы скользящего среднего;</w:t>
      </w:r>
      <w:r>
        <w:rPr>
          <w:sz w:val="28"/>
          <w:szCs w:val="28"/>
        </w:rPr>
      </w:r>
      <w:r/>
      <m:oMath>
        <m:r>
          <w:rPr>
            <w:sz w:val="28"/>
            <w:szCs w:val="28"/>
          </w:rPr>
          <m:rPr/>
          <m:t>𝑑</m:t>
        </m:r>
        <m:r>
          <w:rPr>
            <w:sz w:val="28"/>
            <w:szCs w:val="28"/>
          </w:rPr>
          <m:rPr/>
          <m:t>,</m:t>
        </m:r>
        <m:r>
          <w:rPr>
            <w:sz w:val="28"/>
            <w:szCs w:val="28"/>
          </w:rPr>
          <m:rPr/>
          <m:t>𝐷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порядки интегрирования;</w:t>
      </w:r>
      <m:oMath>
        <m:r>
          <w:rPr>
            <w:rFonts w:ascii="Cambria Math" w:hAnsi="Cambria Math" w:eastAsia="Cambria Math" w:cs="Cambria Math"/>
            <w:sz w:val="28"/>
            <w:szCs w:val="28"/>
          </w:rPr>
          <m:rPr/>
          <m:t> 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𝜖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белый шум.</w:t>
      </w:r>
      <w:r>
        <w:rPr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3E65B8D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Модель SARIMA позволяет системе «запоминать» профиль нагрузки сервера (например, утренние пики активности локальной сети) и фильтровать их, не воспринимая как аномалию.</w:t>
      </w:r>
      <w:r/>
      <w:r/>
    </w:p>
    <w:p w14:paraId="35AE7DB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2. Нелинейное прогнозирование деградации (LSTM)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метрик дисковой подсистемы (Latency, IOPS), где деградация носит скрытый и нелинейный характер, статистические методы показывают низкую эффективность. Для этой задачи в ансамбль включена нейронная сеть с долгой краткосрочной памятью (Long Short-Term Me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mory, LSTM).</w:t>
      </w:r>
      <w:r>
        <w:rPr>
          <w:sz w:val="28"/>
          <w:szCs w:val="28"/>
        </w:rPr>
      </w:r>
    </w:p>
    <w:p w14:paraId="4542E70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Архитектура ячейки LSTM решает проблему затухающего градиента с помощью системы вентилей (gates), что позволяет модели выявлять долгосрочные зависимости между микро-аномалиями и последующим отказом диска. Обновление состояния ячейки на шаге </w:t>
      </w:r>
      <m:oMath>
        <m:r>
          <w:rPr>
            <w:sz w:val="28"/>
            <w:szCs w:val="28"/>
          </w:rPr>
          <m:rPr/>
          <m:t>𝑡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описывается системой уравнений:</w:t>
      </w:r>
      <w:r>
        <w:rPr>
          <w:sz w:val="28"/>
          <w:szCs w:val="28"/>
        </w:rPr>
      </w:r>
    </w:p>
    <w:p w14:paraId="6AEF65A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center"/>
        <w:rPr>
          <w:rFonts w:ascii="Courier New" w:hAnsi="Courier New" w:eastAsia="Courier New" w:cs="Courier New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𝑓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=</m:t>
          </m:r>
          <m:r>
            <w:rPr>
              <w:sz w:val="28"/>
              <w:szCs w:val="28"/>
            </w:rPr>
            <m:rPr/>
            <m:t>𝜎</m:t>
          </m:r>
          <m:r>
            <w:rPr>
              <w:sz w:val="28"/>
              <w:szCs w:val="28"/>
            </w:rPr>
            <m:rPr/>
            <m:t>(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𝑊</m:t>
              </m:r>
            </m:e>
            <m:sub>
              <m:r>
                <w:rPr>
                  <w:sz w:val="28"/>
                  <w:szCs w:val="28"/>
                </w:rPr>
                <m:rPr/>
                <m:t>𝑓</m:t>
              </m:r>
            </m:sub>
          </m:sSub>
          <m:r>
            <w:rPr>
              <w:sz w:val="28"/>
              <w:szCs w:val="28"/>
            </w:rPr>
            <m:rPr/>
            <m:t>⋅</m:t>
          </m:r>
          <m:r>
            <w:rPr>
              <w:sz w:val="28"/>
              <w:szCs w:val="28"/>
            </w:rPr>
            <m:rPr/>
            <m:t>[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h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1</m:t>
              </m:r>
            </m:sub>
          </m:sSub>
          <m:r>
            <w:rPr>
              <w:sz w:val="28"/>
              <w:szCs w:val="28"/>
            </w:rPr>
            <m:rPr/>
            <m:t>,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𝑥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]</m:t>
          </m:r>
          <m:r>
            <w:rPr>
              <w:sz w:val="28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𝑏</m:t>
              </m:r>
            </m:e>
            <m:sub>
              <m:r>
                <w:rPr>
                  <w:sz w:val="28"/>
                  <w:szCs w:val="28"/>
                </w:rPr>
                <m:rPr/>
                <m:t>𝑓</m:t>
              </m:r>
            </m:sub>
          </m:sSub>
          <m:r>
            <w:rPr>
              <w:sz w:val="28"/>
              <w:szCs w:val="28"/>
            </w:rPr>
            <m:rPr/>
            <m:t>)</m:t>
          </m:r>
        </m:oMath>
      </m:oMathPara>
      <w:r>
        <w:rPr>
          <w:rFonts w:ascii="Courier New" w:hAnsi="Courier New" w:eastAsia="Courier New" w:cs="Courier New"/>
          <w:color w:val="000000"/>
          <w:sz w:val="28"/>
          <w:szCs w:val="28"/>
        </w:rPr>
      </w:r>
      <w:r>
        <w:rPr>
          <w:rFonts w:ascii="Courier New" w:hAnsi="Courier New" w:eastAsia="Courier New" w:cs="Courier New"/>
          <w:color w:val="000000"/>
          <w:sz w:val="28"/>
          <w:szCs w:val="28"/>
        </w:rPr>
      </w:r>
    </w:p>
    <w:p w14:paraId="656D1B7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center"/>
        <w:rPr>
          <w:rFonts w:ascii="Courier New" w:hAnsi="Courier New" w:eastAsia="Courier New" w:cs="Courier New"/>
          <w:color w:val="000000"/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𝑖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=</m:t>
          </m:r>
          <m:r>
            <w:rPr>
              <w:sz w:val="28"/>
              <w:szCs w:val="28"/>
            </w:rPr>
            <m:rPr/>
            <m:t>𝜎</m:t>
          </m:r>
          <m:r>
            <w:rPr>
              <w:sz w:val="28"/>
              <w:szCs w:val="28"/>
            </w:rPr>
            <m:rPr/>
            <m:t>(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𝑊</m:t>
              </m:r>
            </m:e>
            <m:sub>
              <m:r>
                <w:rPr>
                  <w:sz w:val="28"/>
                  <w:szCs w:val="28"/>
                </w:rPr>
                <m:rPr/>
                <m:t>𝑖</m:t>
              </m:r>
            </m:sub>
          </m:sSub>
          <m:r>
            <w:rPr>
              <w:sz w:val="28"/>
              <w:szCs w:val="28"/>
            </w:rPr>
            <m:rPr/>
            <m:t>⋅</m:t>
          </m:r>
          <m:r>
            <w:rPr>
              <w:sz w:val="28"/>
              <w:szCs w:val="28"/>
            </w:rPr>
            <m:rPr/>
            <m:t>[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h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1</m:t>
              </m:r>
            </m:sub>
          </m:sSub>
          <m:r>
            <w:rPr>
              <w:sz w:val="28"/>
              <w:szCs w:val="28"/>
            </w:rPr>
            <m:rPr/>
            <m:t>,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𝑥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]</m:t>
          </m:r>
          <m:r>
            <w:rPr>
              <w:sz w:val="28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𝑏</m:t>
              </m:r>
            </m:e>
            <m:sub>
              <m:r>
                <w:rPr>
                  <w:sz w:val="28"/>
                  <w:szCs w:val="28"/>
                </w:rPr>
                <m:rPr/>
                <m:t>𝑖</m:t>
              </m:r>
            </m:sub>
          </m:sSub>
          <m:r>
            <w:rPr>
              <w:sz w:val="28"/>
              <w:szCs w:val="28"/>
            </w:rPr>
            <m:rPr/>
            <m:t>)</m:t>
          </m:r>
        </m:oMath>
      </m:oMathPara>
      <w:r>
        <w:rPr>
          <w:rFonts w:ascii="Courier New" w:hAnsi="Courier New" w:eastAsia="Courier New" w:cs="Courier New"/>
          <w:color w:val="000000"/>
          <w:sz w:val="28"/>
          <w:szCs w:val="28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limUppPr>
                <m:lim>
                  <m:r>
                    <w:rPr>
                      <w:sz w:val="28"/>
                      <w:szCs w:val="28"/>
                    </w:rPr>
                    <m:rPr/>
                    <m:t>~</m:t>
                  </m:r>
                </m:lim>
                <m:e>
                  <m:r>
                    <w:rPr>
                      <w:sz w:val="28"/>
                      <w:szCs w:val="28"/>
                    </w:rPr>
                    <m:rPr/>
                    <m:t>𝐶</m:t>
                  </m:r>
                </m:e>
              </m:limUpp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t</m:t>
              </m:r>
            </m:sub>
          </m:sSub>
          <m:r>
            <w:rPr>
              <w:sz w:val="28"/>
              <w:szCs w:val="28"/>
            </w:rPr>
            <m:rPr/>
            <m:t>=</m:t>
          </m:r>
          <m:func>
            <m:funcPr>
              <m:ctrlPr>
                <w:rPr>
                  <w:rFonts w:ascii="Cambria Math" w:hAnsi="Cambria Math" w:eastAsia="Cambria Math" w:cs="Cambria Math"/>
                  <w:sz w:val="28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tanh</m:t>
              </m:r>
            </m:fName>
            <m:e>
              <m:r>
                <w:rPr>
                  <w:sz w:val="28"/>
                  <w:szCs w:val="28"/>
                </w:rPr>
                <m:rPr/>
                <m:t>(</m:t>
              </m:r>
            </m:e>
          </m:func>
          <m:r>
            <w:rPr>
              <w:sz w:val="28"/>
              <w:szCs w:val="28"/>
            </w:rPr>
            <m:rPr/>
            <m:t>[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h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1</m:t>
              </m:r>
            </m:sub>
          </m:sSub>
          <m:r>
            <w:rPr>
              <w:sz w:val="28"/>
              <w:szCs w:val="28"/>
            </w:rPr>
            <m:rPr/>
            <m:t>,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𝑥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]</m:t>
          </m:r>
          <m:r>
            <w:rPr>
              <w:sz w:val="28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𝑏</m:t>
              </m:r>
            </m:e>
            <m:sub>
              <m:r>
                <w:rPr>
                  <w:sz w:val="28"/>
                  <w:szCs w:val="28"/>
                </w:rPr>
                <m:rPr/>
                <m:t>𝐶</m:t>
              </m:r>
            </m:sub>
          </m:sSub>
          <m:r>
            <w:rPr>
              <w:sz w:val="28"/>
              <w:szCs w:val="28"/>
            </w:rPr>
            <m:rPr/>
            <m:t>)</m:t>
          </m:r>
        </m:oMath>
      </m:oMathPara>
      <w:r>
        <w:rPr>
          <w:rFonts w:ascii="Courier New" w:hAnsi="Courier New" w:eastAsia="Courier New" w:cs="Courier New"/>
          <w:color w:val="000000"/>
          <w:sz w:val="28"/>
          <w:szCs w:val="28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𝐶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𝑓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∗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𝐶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1</m:t>
              </m:r>
            </m:sub>
          </m:sSub>
          <m:r>
            <w:rPr>
              <w:sz w:val="28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𝑖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∗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limUpp>
                <m:limUpp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limUppPr>
                <m:lim>
                  <m:r>
                    <w:rPr>
                      <w:sz w:val="28"/>
                      <w:szCs w:val="28"/>
                    </w:rPr>
                    <m:rPr/>
                    <m:t>~</m:t>
                  </m:r>
                </m:lim>
                <m:e>
                  <m:r>
                    <w:rPr>
                      <w:sz w:val="28"/>
                      <w:szCs w:val="28"/>
                    </w:rPr>
                    <m:rPr/>
                    <m:t>𝐶</m:t>
                  </m:r>
                </m:e>
              </m:limUpp>
            </m:e>
            <m:sub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t</m:t>
              </m:r>
            </m:sub>
          </m:sSub>
        </m:oMath>
      </m:oMathPara>
      <w:r>
        <w:rPr>
          <w:rFonts w:ascii="Courier New" w:hAnsi="Courier New" w:eastAsia="Courier New" w:cs="Courier New"/>
          <w:color w:val="000000"/>
          <w:sz w:val="28"/>
          <w:szCs w:val="28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𝑜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=</m:t>
          </m:r>
          <m:r>
            <w:rPr>
              <w:sz w:val="28"/>
              <w:szCs w:val="28"/>
            </w:rPr>
            <m:rPr/>
            <m:t>𝜎</m:t>
          </m:r>
          <m:r>
            <w:rPr>
              <w:sz w:val="28"/>
              <w:szCs w:val="28"/>
            </w:rPr>
            <m:rPr/>
            <m:t>(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𝑊</m:t>
              </m:r>
            </m:e>
            <m:sub>
              <m:r>
                <w:rPr>
                  <w:sz w:val="28"/>
                  <w:szCs w:val="28"/>
                </w:rPr>
                <m:rPr/>
                <m:t>𝑜</m:t>
              </m:r>
            </m:sub>
          </m:sSub>
          <m:r>
            <w:rPr>
              <w:sz w:val="28"/>
              <w:szCs w:val="28"/>
            </w:rPr>
            <m:rPr/>
            <m:t>⋅</m:t>
          </m:r>
          <m:r>
            <w:rPr>
              <w:sz w:val="28"/>
              <w:szCs w:val="28"/>
            </w:rPr>
            <m:rPr/>
            <m:t>[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ℎ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  <m:r>
                <w:rPr>
                  <w:sz w:val="28"/>
                  <w:szCs w:val="28"/>
                </w:rPr>
                <m:rPr/>
                <m:t>−</m:t>
              </m:r>
              <m:r>
                <w:rPr>
                  <w:sz w:val="28"/>
                  <w:szCs w:val="28"/>
                </w:rPr>
                <m:rPr/>
                <m:t>1</m:t>
              </m:r>
            </m:sub>
          </m:sSub>
          <m:r>
            <w:rPr>
              <w:sz w:val="28"/>
              <w:szCs w:val="28"/>
            </w:rPr>
            <m:rPr/>
            <m:t>,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𝑥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]</m:t>
          </m:r>
          <m:r>
            <w:rPr>
              <w:sz w:val="28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𝑏</m:t>
              </m:r>
            </m:e>
            <m:sub>
              <m:r>
                <w:rPr>
                  <w:sz w:val="28"/>
                  <w:szCs w:val="28"/>
                </w:rPr>
                <m:rPr/>
                <m:t>𝑜</m:t>
              </m:r>
            </m:sub>
          </m:sSub>
          <m:r>
            <w:rPr>
              <w:sz w:val="28"/>
              <w:szCs w:val="28"/>
            </w:rPr>
            <m:rPr/>
            <m:t>)</m:t>
          </m:r>
        </m:oMath>
      </m:oMathPara>
      <w:r>
        <w:rPr>
          <w:rFonts w:ascii="Courier New" w:hAnsi="Courier New" w:eastAsia="Courier New" w:cs="Courier New"/>
          <w:color w:val="000000"/>
          <w:sz w:val="28"/>
          <w:szCs w:val="28"/>
        </w:rPr>
        <w:br/>
      </w: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sz w:val="28"/>
                  <w:szCs w:val="28"/>
                </w:rPr>
                <m:rPr/>
                <m:t>h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𝑜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∗</m:t>
          </m:r>
          <m:func>
            <m:funcPr>
              <m:ctrlPr>
                <w:rPr>
                  <w:rFonts w:ascii="Cambria Math" w:hAnsi="Cambria Math" w:eastAsia="Cambria Math" w:cs="Cambria Math"/>
                  <w:sz w:val="28"/>
                </w:rPr>
              </m:ctrlPr>
            </m:funcPr>
            <m:fName>
              <m:r>
                <w:rPr>
                  <w:rFonts w:ascii="Cambria Math" w:hAnsi="Cambria Math" w:eastAsia="Cambria Math" w:cs="Cambria Math"/>
                  <w:sz w:val="28"/>
                  <w:szCs w:val="28"/>
                </w:rPr>
                <m:rPr/>
                <m:t>tanh</m:t>
              </m:r>
            </m:fName>
            <m:e>
              <m:r>
                <w:rPr>
                  <w:sz w:val="28"/>
                  <w:szCs w:val="28"/>
                </w:rPr>
                <m:rPr/>
                <m:t>(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rPr/>
                    <m:t>𝐶</m:t>
                  </m:r>
                </m:e>
                <m:sub>
                  <m:r>
                    <w:rPr>
                      <w:sz w:val="28"/>
                      <w:szCs w:val="28"/>
                    </w:rPr>
                    <m:rPr/>
                    <m:t>𝑡</m:t>
                  </m:r>
                </m:sub>
              </m:sSub>
              <m:r>
                <w:rPr>
                  <w:sz w:val="28"/>
                  <w:szCs w:val="28"/>
                </w:rPr>
                <m:rPr/>
                <m:t>)</m:t>
              </m:r>
            </m:e>
          </m:func>
        </m:oMath>
      </m:oMathPara>
      <w:r>
        <w:rPr>
          <w:rFonts w:ascii="Courier New" w:hAnsi="Courier New" w:eastAsia="Courier New" w:cs="Courier New"/>
          <w:color w:val="000000"/>
          <w:sz w:val="28"/>
          <w:szCs w:val="28"/>
        </w:rPr>
      </w:r>
      <w:r>
        <w:rPr>
          <w:rFonts w:ascii="Courier New" w:hAnsi="Courier New" w:eastAsia="Courier New" w:cs="Courier New"/>
          <w:color w:val="000000"/>
          <w:sz w:val="28"/>
          <w:szCs w:val="28"/>
        </w:rPr>
      </w:r>
    </w:p>
    <w:p w14:paraId="609575B6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both"/>
        <w:rPr>
          <w:rFonts w:ascii="Courier New" w:hAnsi="Courier New" w:eastAsia="Courier New" w:cs="Courier New"/>
          <w:color w:val="000000"/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где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𝑓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  <m:r>
          <w:rPr>
            <w:sz w:val="28"/>
            <w:szCs w:val="28"/>
          </w:rPr>
          <m:rPr/>
          <m:t>,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𝑖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  <m:r>
          <w:rPr>
            <w:sz w:val="28"/>
            <w:szCs w:val="28"/>
          </w:rPr>
          <m:rPr/>
          <m:t>,</m:t>
        </m:r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𝑜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вентили забывания, входа и выхода соответственно;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𝐶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состояние долгосрочной памяти;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</w:rPr>
              <m:rPr/>
              <m:t>h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скрытое состояние;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m:oMath>
        <m:r>
          <w:rPr>
            <w:sz w:val="28"/>
            <w:szCs w:val="28"/>
          </w:rPr>
          <m:rPr/>
          <m:t>𝜎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сигмоидная функция активации.</w:t>
      </w:r>
      <w:r/>
      <w:r/>
    </w:p>
    <w:p w14:paraId="2D0190A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3.</w:t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 Механизм адаптивной интеграции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Ключев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ым моментом предложенного подхода является отказ от статического выбора между моделями в пользу их динамического ансамблирования. Итоговый прогноз</w:t>
      </w:r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eastAsia="Cambria Math" w:cs="Cambria Math"/>
                    <w:i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eastAsia="Cambria Math" w:cs="Cambria Math"/>
                    <w:color w:val="000000"/>
                    <w:sz w:val="24"/>
                    <w:szCs w:val="24"/>
                  </w:rPr>
                  <m:rPr/>
                  <m:t>X</m:t>
                </m:r>
              </m:e>
            </m:acc>
          </m:e>
          <m:sub>
            <m:r>
              <w:rPr>
                <w:rFonts w:ascii="Cambria Math" w:hAnsi="Cambria Math" w:eastAsia="Cambria Math" w:cs="Cambria Math"/>
                <w:color w:val="000000"/>
                <w:sz w:val="24"/>
                <w:szCs w:val="24"/>
              </w:rPr>
              <m:rPr/>
              <m:t>t+h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на горизонт </w:t>
      </w:r>
      <m:oMath>
        <m:r>
          <w:rPr>
            <w:rFonts w:hint="default" w:ascii="Cambria Math" w:hAnsi="Cambria Math" w:eastAsia="Cambria Math" w:cs="Cambria Math"/>
            <w:color w:val="000000"/>
            <w:sz w:val="28"/>
            <w:szCs w:val="28"/>
          </w:rPr>
          <m:rPr>
            <m:sty m:val="i"/>
          </m:rPr>
          <m:t>h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формируется как взвешенная сумма: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30317C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eastAsia="Cambria Math" w:cs="Cambria Math"/>
                  <w:i/>
                  <w:color w:val="000000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eastAsia="Cambria Math" w:cs="Cambria Math"/>
                      <w:i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eastAsia="Cambria Math" w:cs="Cambria Math"/>
                      <w:color w:val="000000"/>
                      <w:sz w:val="24"/>
                      <w:szCs w:val="24"/>
                    </w:rPr>
                    <m:rPr/>
                    <m:t>X</m:t>
                  </m:r>
                </m:e>
              </m:acc>
            </m:e>
            <m:sub>
              <m:r>
                <w:rPr>
                  <w:rFonts w:ascii="Cambria Math" w:hAnsi="Cambria Math" w:eastAsia="Cambria Math" w:cs="Cambria Math"/>
                  <w:color w:val="000000"/>
                  <w:sz w:val="24"/>
                  <w:szCs w:val="24"/>
                </w:rPr>
                <m:rPr/>
                <m:t>t+h</m:t>
              </m:r>
            </m:sub>
          </m:sSub>
          <m:r>
            <w:rPr>
              <w:rFonts w:ascii="Cambria Math" w:hAnsi="Cambria Math" w:eastAsia="Cambria Math" w:cs="Cambria Math"/>
              <w:color w:val="000000"/>
              <w:sz w:val="24"/>
              <w:szCs w:val="24"/>
            </w:rPr>
            <m:rPr/>
            <m:t>=α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color w:val="000000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eastAsia="Cambria Math" w:cs="Cambria Math"/>
                      <w:i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eastAsia="Cambria Math" w:cs="Cambria Math"/>
                      <w:color w:val="000000"/>
                      <w:sz w:val="24"/>
                      <w:szCs w:val="24"/>
                    </w:rPr>
                    <m:rPr/>
                    <m:t>X</m:t>
                  </m:r>
                </m:e>
              </m:acc>
            </m:e>
            <m:sub>
              <m:r>
                <w:rPr>
                  <w:rFonts w:ascii="Cambria Math" w:hAnsi="Cambria Math" w:eastAsia="Cambria Math" w:cs="Cambria Math"/>
                  <w:color w:val="000000"/>
                  <w:sz w:val="24"/>
                  <w:szCs w:val="24"/>
                  <w:lang w:val="en-US"/>
                </w:rPr>
                <m:rPr/>
                <m:t>SARIMA</m:t>
              </m:r>
            </m:sub>
          </m:sSub>
          <m:r>
            <w:rPr>
              <w:rFonts w:ascii="Cambria Math" w:hAnsi="Cambria Math" w:eastAsia="Cambria Math" w:cs="Cambria Math"/>
              <w:color w:val="000000"/>
              <w:sz w:val="24"/>
              <w:szCs w:val="24"/>
            </w:rPr>
            <m:rPr/>
            <m:t>+(1-α)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color w:val="000000"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eastAsia="Cambria Math" w:cs="Cambria Math"/>
                      <w:i/>
                      <w:color w:val="000000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eastAsia="Cambria Math" w:cs="Cambria Math"/>
                      <w:color w:val="000000"/>
                      <w:sz w:val="24"/>
                      <w:szCs w:val="24"/>
                    </w:rPr>
                    <m:rPr/>
                    <m:t>X</m:t>
                  </m:r>
                </m:e>
              </m:acc>
            </m:e>
            <m:sub>
              <m:r>
                <w:rPr>
                  <w:rFonts w:ascii="Cambria Math" w:hAnsi="Cambria Math" w:eastAsia="Cambria Math" w:cs="Cambria Math"/>
                  <w:color w:val="000000"/>
                  <w:sz w:val="24"/>
                  <w:szCs w:val="24"/>
                </w:rPr>
                <m:rPr/>
                <m:t>L</m:t>
              </m:r>
              <m:r>
                <w:rPr>
                  <w:rFonts w:ascii="Cambria Math" w:hAnsi="Cambria Math" w:eastAsia="Cambria Math" w:cs="Cambria Math"/>
                  <w:color w:val="000000"/>
                  <w:sz w:val="24"/>
                  <w:szCs w:val="24"/>
                  <w:lang w:val="en-US"/>
                </w:rPr>
                <m:rPr/>
                <m:t>STM</m:t>
              </m:r>
            </m:sub>
          </m:sSub>
        </m:oMath>
      </m:oMathPara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</w:p>
    <w:p w14:paraId="190B621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где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eastAsia="Cambria Math" w:cs="Cambria Math"/>
                    <w:i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eastAsia="Cambria Math" w:cs="Cambria Math"/>
                    <w:color w:val="000000"/>
                    <w:sz w:val="24"/>
                    <w:szCs w:val="24"/>
                  </w:rPr>
                  <m:rPr/>
                  <m:t>X</m:t>
                </m:r>
              </m:e>
            </m:acc>
          </m:e>
          <m:sub>
            <m:r>
              <w:rPr>
                <w:rFonts w:ascii="Cambria Math" w:hAnsi="Cambria Math" w:eastAsia="Cambria Math" w:cs="Cambria Math"/>
                <w:color w:val="000000"/>
                <w:sz w:val="24"/>
                <w:szCs w:val="24"/>
                <w:lang w:val="en-US"/>
              </w:rPr>
              <m:rPr/>
              <m:t>SARIMA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прогноз модели SARIMA;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color w:val="000000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eastAsia="Cambria Math" w:cs="Cambria Math"/>
                    <w:i/>
                    <w:color w:val="000000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eastAsia="Cambria Math" w:cs="Cambria Math"/>
                    <w:color w:val="000000"/>
                    <w:sz w:val="24"/>
                    <w:szCs w:val="24"/>
                  </w:rPr>
                  <m:rPr/>
                  <m:t>X</m:t>
                </m:r>
              </m:e>
            </m:acc>
          </m:e>
          <m:sub>
            <m:r>
              <w:rPr>
                <w:rFonts w:ascii="Cambria Math" w:hAnsi="Cambria Math" w:eastAsia="Cambria Math" w:cs="Cambria Math"/>
                <w:color w:val="000000"/>
                <w:sz w:val="24"/>
                <w:szCs w:val="24"/>
              </w:rPr>
              <m:rPr/>
              <m:t>L</m:t>
            </m:r>
            <m:r>
              <w:rPr>
                <w:rFonts w:ascii="Cambria Math" w:hAnsi="Cambria Math" w:eastAsia="Cambria Math" w:cs="Cambria Math"/>
                <w:color w:val="000000"/>
                <w:sz w:val="24"/>
                <w:szCs w:val="24"/>
                <w:lang w:val="en-US"/>
              </w:rPr>
              <m:rPr/>
              <m:t>STM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прогноз модели LSTM;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𝛼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  <m:r>
          <w:rPr>
            <w:sz w:val="28"/>
            <w:szCs w:val="28"/>
          </w:rPr>
          <m:rPr/>
          <m:t> ∈</m:t>
        </m:r>
        <m:r>
          <w:rPr>
            <w:sz w:val="28"/>
            <w:szCs w:val="28"/>
          </w:rPr>
          <m:rPr/>
          <m:t> [</m:t>
        </m:r>
        <m:r>
          <w:rPr>
            <w:sz w:val="28"/>
            <w:szCs w:val="28"/>
          </w:rPr>
          <m:rPr/>
          <m:t>0</m:t>
        </m:r>
        <m:r>
          <w:rPr>
            <w:sz w:val="28"/>
            <w:szCs w:val="28"/>
          </w:rPr>
          <m:rPr/>
          <m:t>,</m:t>
        </m:r>
        <m:r>
          <w:rPr>
            <w:sz w:val="28"/>
            <w:szCs w:val="28"/>
          </w:rPr>
          <m:rPr/>
          <m:t>1</m:t>
        </m:r>
        <m:r>
          <w:rPr>
            <w:sz w:val="28"/>
            <w:szCs w:val="28"/>
          </w:rPr>
          <m:rPr/>
          <m:t>]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— динамический весовой коэффициент.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/>
    </w:p>
    <w:p w14:paraId="54235AC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Коэффициент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𝛼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пересчитывается на каждом временном окне на основе обратной пропорциональности историческим ошибкам моделей за период </w:t>
      </w:r>
      <m:oMath>
        <m:r>
          <w:rPr>
            <w:sz w:val="28"/>
            <w:szCs w:val="28"/>
          </w:rPr>
          <m:rPr/>
          <m:t>𝑇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:</w:t>
        <w:br/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sz w:val="28"/>
                </w:rPr>
              </m:ctrlPr>
            </m:sSubPr>
            <m:e>
              <m:r>
                <w:rPr>
                  <w:sz w:val="28"/>
                  <w:szCs w:val="28"/>
                </w:rPr>
                <m:rPr/>
                <m:t>𝛼</m:t>
              </m:r>
            </m:e>
            <m:sub>
              <m:r>
                <w:rPr>
                  <w:sz w:val="28"/>
                  <w:szCs w:val="28"/>
                </w:rPr>
                <m:rPr/>
                <m:t>𝑡</m:t>
              </m:r>
            </m:sub>
          </m:sSub>
          <m:r>
            <w:rPr>
              <w:sz w:val="28"/>
              <w:szCs w:val="28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rPr/>
                    <m:t>𝐸</m:t>
                  </m:r>
                </m:e>
                <m:sub>
                  <m:r>
                    <w:rPr>
                      <w:sz w:val="28"/>
                      <w:szCs w:val="28"/>
                    </w:rPr>
                    <m:rPr/>
                    <m:t>𝐿</m:t>
                  </m:r>
                  <m:r>
                    <w:rPr>
                      <w:sz w:val="28"/>
                      <w:szCs w:val="28"/>
                    </w:rPr>
                    <m:rPr/>
                    <m:t>𝑆</m:t>
                  </m:r>
                  <m:r>
                    <w:rPr>
                      <w:sz w:val="28"/>
                      <w:szCs w:val="28"/>
                    </w:rPr>
                    <m:rPr/>
                    <m:t>𝑇</m:t>
                  </m:r>
                  <m:r>
                    <w:rPr>
                      <w:sz w:val="28"/>
                      <w:szCs w:val="28"/>
                    </w:rPr>
                    <m:rPr/>
                    <m:t>𝑀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rPr/>
                    <m:t>𝐸</m:t>
                  </m:r>
                </m:e>
                <m:sub>
                  <m:r>
                    <w:rPr>
                      <w:sz w:val="28"/>
                      <w:szCs w:val="28"/>
                    </w:rPr>
                    <m:rPr/>
                    <m:t>𝑆</m:t>
                  </m:r>
                  <m:r>
                    <w:rPr>
                      <w:sz w:val="28"/>
                      <w:szCs w:val="28"/>
                    </w:rPr>
                    <m:rPr/>
                    <m:t>𝐴</m:t>
                  </m:r>
                  <m:r>
                    <w:rPr>
                      <w:sz w:val="28"/>
                      <w:szCs w:val="28"/>
                    </w:rPr>
                    <m:rPr/>
                    <m:t>𝑅</m:t>
                  </m:r>
                  <m:r>
                    <w:rPr>
                      <w:sz w:val="28"/>
                      <w:szCs w:val="28"/>
                    </w:rPr>
                    <m:rPr/>
                    <m:t>𝐼</m:t>
                  </m:r>
                  <m:r>
                    <w:rPr>
                      <w:sz w:val="28"/>
                      <w:szCs w:val="28"/>
                    </w:rPr>
                    <m:rPr/>
                    <m:t>𝑀</m:t>
                  </m:r>
                  <m:r>
                    <w:rPr>
                      <w:sz w:val="28"/>
                      <w:szCs w:val="28"/>
                    </w:rPr>
                    <m:rPr/>
                    <m:t>𝐴</m:t>
                  </m:r>
                </m:sub>
              </m:sSub>
              <m:r>
                <w:rPr>
                  <w:sz w:val="28"/>
                  <w:szCs w:val="28"/>
                </w:rPr>
                <m:rPr/>
                <m:t>+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sz w:val="28"/>
                    </w:rPr>
                  </m:ctrlPr>
                </m:sSubPr>
                <m:e>
                  <m:r>
                    <w:rPr>
                      <w:sz w:val="28"/>
                      <w:szCs w:val="28"/>
                    </w:rPr>
                    <m:rPr/>
                    <m:t>𝐸</m:t>
                  </m:r>
                </m:e>
                <m:sub>
                  <m:r>
                    <w:rPr>
                      <w:sz w:val="28"/>
                      <w:szCs w:val="28"/>
                    </w:rPr>
                    <m:rPr/>
                    <m:t>𝐿</m:t>
                  </m:r>
                  <m:r>
                    <w:rPr>
                      <w:sz w:val="28"/>
                      <w:szCs w:val="28"/>
                    </w:rPr>
                    <m:rPr/>
                    <m:t>𝑆</m:t>
                  </m:r>
                  <m:r>
                    <w:rPr>
                      <w:sz w:val="28"/>
                      <w:szCs w:val="28"/>
                    </w:rPr>
                    <m:rPr/>
                    <m:t>𝑇</m:t>
                  </m:r>
                  <m:r>
                    <w:rPr>
                      <w:sz w:val="28"/>
                      <w:szCs w:val="28"/>
                    </w:rPr>
                    <m:rPr/>
                    <m:t>𝑀</m:t>
                  </m:r>
                </m:sub>
              </m:sSub>
            </m:den>
          </m:f>
        </m:oMath>
      </m:oMathPara>
      <w:r>
        <w:rPr>
          <w:rFonts w:ascii="Courier New" w:hAnsi="Courier New" w:eastAsia="Courier New" w:cs="Courier New"/>
          <w:color w:val="000000"/>
          <w:sz w:val="28"/>
          <w:szCs w:val="28"/>
        </w:rPr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где </w:t>
      </w:r>
      <m:oMath>
        <m:r>
          <w:rPr>
            <w:sz w:val="28"/>
            <w:szCs w:val="28"/>
          </w:rPr>
          <m:rPr/>
          <m:t>𝐸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— среднеквадратическая ошибка (RMSE) соответствующей модели на валидационной выборке. Таким образом, если анализируется сетевой трафик, SARIMA показывает меньшую ошибку, и система автоматически смещает вес </w:t>
      </w: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      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𝛼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к 1. При анализе задержек SSD линейная модель начинает ошибаться, и вес плавно перетекает к нейросети (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𝛼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  <m:r>
          <w:rPr>
            <w:sz w:val="28"/>
            <w:szCs w:val="28"/>
          </w:rPr>
          <m:rPr/>
          <m:t>→</m:t>
        </m:r>
        <m:r>
          <w:rPr>
            <w:sz w:val="28"/>
            <w:szCs w:val="28"/>
          </w:rPr>
          <m:rPr/>
          <m:t>0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524083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ВЫЧИСЛИТЕЛЬНЫЙ ЭКСПЕРИМЕНТ И АНАЛИЗ РЕЗУЛЬТАТОВ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ab/>
        <w:t xml:space="preserve">Для верификации предложенной математической модели был проведен вычислительный эксперимент. В качестве источника данных выступил реальный физический сервер под управлением ОС Windows Server с ролью Hyper-V. Дисковая подсистема представлена аппаратным RAID-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контроллером MEGARAID с массивом из Enterprise SSD-накопителей.</w:t>
      </w:r>
      <w:r>
        <w:rPr>
          <w:sz w:val="28"/>
          <w:szCs w:val="28"/>
        </w:rPr>
      </w:r>
    </w:p>
    <w:p w14:paraId="28E8EA7A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Сбор пространственно-временных данных осуществлялся с дискретностью 5 минут на протяжении 60 суток. Итоговый датасет составил более 17 000 записей для каждой метрики. Данные были разделены на обучающую (70%), валидационную (15%) и тестовую (15%) выборки.</w:t>
      </w:r>
      <w:r>
        <w:rPr>
          <w:sz w:val="28"/>
          <w:szCs w:val="28"/>
        </w:rPr>
      </w:r>
    </w:p>
    <w:p w14:paraId="11571AD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Эксперимент проводился по двум сценариям, отражающим разную природу метрик.</w:t>
      </w:r>
      <w:r>
        <w:rPr>
          <w:sz w:val="28"/>
          <w:szCs w:val="28"/>
        </w:rPr>
      </w:r>
    </w:p>
    <w:p w14:paraId="5A5F9F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Сценарий 1: Прогнозирование утилизации CPU виртуальных машин.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данном сценарии метрика имела выраженный суточный цикл.</w:t>
      </w:r>
      <w:r>
        <w:rPr>
          <w:sz w:val="28"/>
          <w:szCs w:val="28"/>
        </w:rPr>
      </w:r>
    </w:p>
    <w:p w14:paraId="5DD6C52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[ЗДЕСЬ В СТАТЬЕ НЕОБХОДИМО ВСТАВИТЬ РИСУНОК 1. График прогноза CPU]</w:t>
        <w:br/>
        <w:t xml:space="preserve">Рисунок 1 – Сравнение прогнозов загрузки CPU моделями SARIMA, LSTM и гибридной моделью</w:t>
      </w:r>
      <w:r>
        <w:rPr>
          <w:sz w:val="28"/>
          <w:szCs w:val="28"/>
        </w:rPr>
      </w:r>
    </w:p>
    <w:p w14:paraId="624911CB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Как видно из графиков (Рис. 1), чистая модель LSTM оказалась избыточно сложной для данной задачи: она начала переобучаться на случайном шуме (микро-всплесках), выдавая нестабильный прогноз. Модель SARIMA, напротив, идеально уловила сезонность. Механизм ада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птивного ансамблирования корректно распознал специфику ряда, установив коэффициент </w:t>
      </w:r>
      <w:r>
        <w:rPr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𝛼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  <m:r>
          <w:rPr>
            <w:sz w:val="28"/>
            <w:szCs w:val="28"/>
          </w:rPr>
          <m:rPr/>
          <m:t>=</m:t>
        </m:r>
        <m:r>
          <w:rPr>
            <w:sz w:val="28"/>
            <w:szCs w:val="28"/>
          </w:rPr>
          <m:rPr/>
          <m:t>0.88</m:t>
        </m:r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,  что позволило  гибридной модели сгладить нейросетевые флуктуации и выдать точный результат.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9FC0FE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Сценарий 2: Прогнозирование деградации (Latency) накопителя SSD.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Во втором сценарии анализировалась задержка ответа диска. На 45-й день эксперимента один из накопителей начал демонстрировать признаки аппаратной деградации: базовый фон задержки оставался в норме (около 2 мс), однако начали появляться нелинейные спайки до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40-60 мс при операциях случайного чтения.</w:t>
      </w:r>
      <w:r>
        <w:rPr>
          <w:sz w:val="28"/>
          <w:szCs w:val="28"/>
        </w:rPr>
      </w:r>
    </w:p>
    <w:p w14:paraId="5F2EF29D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[ЗДЕСЬ В СТАТЬЕ НЕОБХОДИМО ВСТАВИТЬ РИСУНОК 2. График прогноза Latency SSD]</w:t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</w:rPr>
      </w:r>
    </w:p>
    <w:p w14:paraId="30F8CC5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Рисунок 2 – Прогнозирование лавинообразного роста задержек SSD-накопителя</w:t>
      </w:r>
      <w:r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</w:rPr>
      </w:r>
      <w:r/>
    </w:p>
    <w:p w14:paraId="056EDF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В этой ситуации статистическая модель SARIMA потерпела неудачу. Из-за сглаживания скользящим средним она восприняла микро-фризы как случайный шум (</w:t>
      </w:r>
      <w:r>
        <w:rPr>
          <w:sz w:val="28"/>
          <w:szCs w:val="28"/>
        </w:rPr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𝜖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) и спрогнозировала дальнейшую ровную работу диска. Модель LSTM, благодаря вентилям памяти, выявила паттерн накопления ошибок и спрогнозировала экспоненциальный рост задержки. Алгоритм адаптивного веса снизил </w:t>
      </w:r>
      <m:oMath>
        <m:sSub>
          <m:sSubPr>
            <m:ctrlPr>
              <w:rPr>
                <w:rFonts w:ascii="Cambria Math" w:hAnsi="Cambria Math" w:eastAsia="Cambria Math" w:cs="Cambria Math"/>
                <w:sz w:val="28"/>
              </w:rPr>
            </m:ctrlPr>
          </m:sSubPr>
          <m:e>
            <m:r>
              <w:rPr>
                <w:sz w:val="28"/>
                <w:szCs w:val="28"/>
              </w:rPr>
              <m:rPr/>
              <m:t>𝛼</m:t>
            </m:r>
          </m:e>
          <m:sub>
            <m:r>
              <w:rPr>
                <w:sz w:val="28"/>
                <w:szCs w:val="28"/>
              </w:rPr>
              <m:rPr/>
              <m:t>𝑡</m:t>
            </m:r>
          </m:sub>
        </m:sSub>
      </m:oMath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 до 0.12, полностью доверив прогноз нейросети. В результате гибридная модель успешно предсказала переход диска в предаварийное состояние за 72 часа до фактического превышения критического порога (100 мс).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745189C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ОЦЕНКА ЭФФЕКТИВНОСТИ</w:t>
      </w:r>
      <w:r>
        <w:rPr>
          <w:sz w:val="28"/>
          <w:szCs w:val="28"/>
        </w:rPr>
      </w:r>
    </w:p>
    <w:p w14:paraId="03B50D68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Для количественной оценки результатов использовались метрики среднеквадратической ошибки (RMSE) и средней абсолютной ошибки (MAE):</w:t>
        <w:br/>
      </w:r>
      <w:r>
        <w:rPr>
          <w:sz w:val="28"/>
          <w:szCs w:val="28"/>
        </w:rPr>
      </w:r>
      <w:r/>
    </w:p>
    <w:p w14:paraId="28F454C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Courier New" w:hAnsi="Courier New" w:eastAsia="Courier New" w:cs="Courier New"/>
          <w:color w:val="000000"/>
          <w:sz w:val="28"/>
          <w:szCs w:val="28"/>
        </w:rPr>
        <w:t xml:space="preserve">        </w:t>
      </w:r>
      <m:oMath>
        <m:r>
          <w:rPr>
            <w:rFonts w:ascii="Cambria Math" w:hAnsi="Cambria Math"/>
            <w:sz w:val="24"/>
            <w:szCs w:val="24"/>
          </w:rPr>
          <m:rPr/>
          <m:t>RMSE=</m:t>
        </m:r>
        <m:rad>
          <m:radPr>
            <m:degHide m:val="on"/>
            <m:ctrlPr>
              <w:rPr>
                <w:rFonts w:ascii="Cambria Math" w:hAnsi="Cambria Math"/>
                <w:sz w:val="24"/>
                <w:szCs w:val="24"/>
              </w:rPr>
            </m:ctrlPr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f>
              <m:f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1</m:t>
                </m:r>
              </m:num>
              <m:den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n</m:t>
                </m:r>
              </m:den>
            </m:f>
            <m:nary>
              <m:naryPr>
                <m:chr m:val="∑"/>
                <m:grow m:val="off"/>
                <m:limLoc m:val="undOvr"/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i=1</m:t>
                </m:r>
              </m:sub>
              <m:sup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n</m:t>
                </m:r>
              </m:sup>
              <m:e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(</m:t>
                </m:r>
              </m:e>
            </m:nary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sz w:val="24"/>
                        <w:szCs w:val="24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rPr/>
                      <m:t>X</m:t>
                    </m:r>
                  </m:e>
                </m:acc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i</m:t>
                </m:r>
              </m:sub>
            </m:sSub>
            <m:r>
              <w:rPr>
                <w:rFonts w:ascii="Cambria Math" w:hAnsi="Cambria Math"/>
                <w:sz w:val="24"/>
                <w:szCs w:val="24"/>
              </w:rPr>
              <m:rPr/>
              <m:t>-</m:t>
            </m:r>
            <m:sSub>
              <m:sSub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X</m:t>
                </m:r>
              </m:e>
              <m:sub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)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2</m:t>
                </m:r>
              </m:sup>
            </m:sSup>
          </m:e>
        </m:rad>
        <m:r>
          <w:rPr>
            <w:sz w:val="28"/>
            <w:szCs w:val="28"/>
          </w:rPr>
          <m:rPr/>
          <m:t>,</m:t>
        </m:r>
        <m:r>
          <w:rPr>
            <w:rFonts w:ascii="Cambria Math" w:hAnsi="Cambria Math"/>
            <w:sz w:val="24"/>
            <w:szCs w:val="24"/>
          </w:rPr>
          <m:rPr/>
          <m:t>MAE=</m:t>
        </m:r>
        <m:f>
          <m:fPr>
            <m:ctrlPr>
              <w:rPr>
                <w:rFonts w:ascii="Cambria Math" w:hAnsi="Cambria Math"/>
                <w:sz w:val="24"/>
                <w:szCs w:val="24"/>
              </w:rPr>
            </m:ctrlPr>
          </m:fPr>
          <m:num>
            <m:r>
              <w:rPr>
                <w:rFonts w:ascii="Cambria Math" w:hAnsi="Cambria Math"/>
                <w:sz w:val="24"/>
                <w:szCs w:val="24"/>
              </w:rPr>
              <m:rPr/>
              <m:t>1</m:t>
            </m:r>
          </m:num>
          <m:den>
            <m:r>
              <w:rPr>
                <w:rFonts w:ascii="Cambria Math" w:hAnsi="Cambria Math"/>
                <w:sz w:val="24"/>
                <w:szCs w:val="24"/>
              </w:rPr>
              <m:rPr/>
              <m:t>n</m:t>
            </m:r>
          </m:den>
        </m:f>
        <m:nary>
          <m:naryPr>
            <m:chr m:val="∑"/>
            <m:grow m:val="off"/>
            <m:limLoc m:val="undOvr"/>
            <m:ctrlPr>
              <w:rPr>
                <w:rFonts w:ascii="Cambria Math" w:hAnsi="Cambria Math"/>
                <w:sz w:val="24"/>
                <w:szCs w:val="24"/>
              </w:rPr>
            </m:ctrlPr>
          </m:naryPr>
          <m:sub>
            <m:r>
              <w:rPr>
                <w:rFonts w:ascii="Cambria Math" w:hAnsi="Cambria Math"/>
                <w:sz w:val="24"/>
                <w:szCs w:val="24"/>
              </w:rPr>
              <m:rPr/>
              <m:t>i=1</m:t>
            </m:r>
          </m:sub>
          <m:sup>
            <m:r>
              <w:rPr>
                <w:rFonts w:ascii="Cambria Math" w:hAnsi="Cambria Math"/>
                <w:sz w:val="24"/>
                <w:szCs w:val="24"/>
              </w:rPr>
              <m:rPr/>
              <m:t>n</m:t>
            </m:r>
          </m:sup>
          <m:e>
            <m:r>
              <w:rPr>
                <w:rFonts w:ascii="Cambria Math" w:hAnsi="Cambria Math"/>
                <w:sz w:val="24"/>
                <w:szCs w:val="24"/>
              </w:rPr>
              <m:rPr>
                <m:sty m:val="p"/>
              </m:rPr>
              <m:t>∣</m:t>
            </m:r>
          </m:e>
        </m:nary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/>
                    <w:sz w:val="24"/>
                    <w:szCs w:val="24"/>
                  </w:rPr>
                  <m:rPr/>
                  <m:t>X</m:t>
                </m:r>
              </m:e>
            </m:acc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rPr/>
          <m:t>-</m:t>
        </m:r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rPr/>
              <m:t>X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rPr/>
              <m:t>i</m:t>
            </m:r>
          </m:sub>
        </m:sSub>
        <m:r>
          <w:rPr>
            <w:rFonts w:ascii="Cambria Math" w:hAnsi="Cambria Math"/>
            <w:sz w:val="24"/>
            <w:szCs w:val="24"/>
          </w:rPr>
          <m:rPr>
            <m:sty m:val="p"/>
          </m:rPr>
          <m:t>∣</m:t>
        </m:r>
      </m:oMath>
      <w:r>
        <w:rPr>
          <w:rFonts w:ascii="Courier New" w:hAnsi="Courier New" w:eastAsia="Courier New" w:cs="Courier New"/>
          <w:color w:val="000000"/>
          <w:sz w:val="28"/>
          <w:szCs w:val="28"/>
        </w:rPr>
      </w:r>
      <w:r>
        <w:rPr>
          <w:sz w:val="28"/>
          <w:szCs w:val="28"/>
        </w:rPr>
      </w:r>
    </w:p>
    <w:p w14:paraId="105E717F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Результаты сравнительного анализа представлены в Таблице 1.</w:t>
      </w:r>
      <w:r>
        <w:rPr>
          <w:sz w:val="28"/>
          <w:szCs w:val="28"/>
        </w:rPr>
      </w:r>
    </w:p>
    <w:p w14:paraId="6C336F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bCs/>
          <w:i/>
          <w:color w:val="000000"/>
          <w:sz w:val="28"/>
          <w:szCs w:val="28"/>
        </w:rPr>
      </w:pPr>
      <w:r>
        <w:rPr>
          <w:rFonts w:ascii="Times New Roman" w:hAnsi="Times New Roman" w:eastAsia="Times New Roman" w:cs="Times New Roman"/>
          <w:i/>
          <w:color w:val="000000"/>
          <w:sz w:val="28"/>
          <w:szCs w:val="28"/>
        </w:rPr>
        <w:t xml:space="preserve">Таблица 1 – Сравнение точности прогнозных моделей</w:t>
      </w:r>
      <w:r>
        <w:rPr>
          <w:sz w:val="28"/>
          <w:szCs w:val="28"/>
        </w:rPr>
      </w:r>
    </w:p>
    <w:tbl>
      <w:tblPr>
        <w:tblStyle w:val="703"/>
        <w:tblW w:w="0" w:type="auto"/>
        <w:tblBorders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/>
        <w:tc>
          <w:tcPr>
            <w:tcBorders/>
            <w:tcW w:w="1871" w:type="dxa"/>
          </w:tcPr>
          <w:p w14:paraId="5CF3A6F0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Модель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668A38F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RMSE (CPU), % 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4E7C58E8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MAE (CPU), %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13DE967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RMSE (Latency), мс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011591B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MAE (Latency), мс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1" w:type="dxa"/>
          </w:tcPr>
          <w:p w14:paraId="6D294DFF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Изолированная SARIMA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236FE99E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4.12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79CC646F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3.05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79342747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28.45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650575CB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15.20</w:t>
            </w:r>
            <w:r/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1" w:type="dxa"/>
          </w:tcPr>
          <w:p w14:paraId="0907282A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Изолированная LSTM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50FD7C7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6.80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0B209AA5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5.14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237129F1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12.30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6A565F84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8.45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</w:tr>
      <w:tr>
        <w:trPr/>
        <w:tc>
          <w:tcPr>
            <w:tcBorders/>
            <w:tcW w:w="1871" w:type="dxa"/>
          </w:tcPr>
          <w:p w14:paraId="4AE0FC07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Предложенный гибрид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4C54C8D9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3.85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5C00DEB5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2.90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7F5003DE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/>
                <w:bCs w:val="0"/>
                <w:i w:val="0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  <w:lang w:val="en-US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</w:rPr>
              <w:t xml:space="preserve">0.15</w:t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color w:val="000000"/>
                <w:sz w:val="28"/>
                <w:szCs w:val="28"/>
              </w:rPr>
            </w:r>
          </w:p>
        </w:tc>
        <w:tc>
          <w:tcPr>
            <w:tcBorders/>
            <w:tcW w:w="1871" w:type="dxa"/>
          </w:tcPr>
          <w:p w14:paraId="28784716">
            <w:pPr>
              <w:suppressLineNumbers w:val="false"/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 w:after="0" w:afterAutospacing="0" w:afterLines="0" w:line="360" w:lineRule="auto"/>
              <w:ind/>
              <w:contextualSpacing w:val="true"/>
              <w:jc w:val="both"/>
              <w:rPr>
                <w:rFonts w:ascii="Times New Roman" w:hAnsi="Times New Roman" w:eastAsia="Times New Roman" w:cs="Times New Roman"/>
                <w:bCs/>
                <w:i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  <w:szCs w:val="28"/>
              </w:rPr>
              <w:t xml:space="preserve">7.10</w:t>
            </w:r>
            <w:r/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8"/>
                <w:szCs w:val="28"/>
              </w:rPr>
            </w:r>
          </w:p>
        </w:tc>
      </w:tr>
    </w:tbl>
    <w:p w14:paraId="255CCD17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6F537AE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0" w:left="0"/>
        <w:contextualSpacing w:val="true"/>
        <w:jc w:val="both"/>
        <w:rPr>
          <w:sz w:val="28"/>
          <w:szCs w:val="28"/>
        </w:rPr>
      </w:pPr>
      <w:r>
        <w:rPr>
          <w:sz w:val="28"/>
          <w:szCs w:val="28"/>
        </w:rPr>
      </w:r>
      <w:r/>
    </w:p>
    <w:p w14:paraId="5E55874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ЗАКЛЮЧЕНИЕ</w:t>
        <w:br/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Проведенное исследование доказывает, что применение изолированных математических моделей для диагностики современных серверов нецелесообразно из-за гетерогенной природы эксплуатационных метрик. Классические системы мониторинга, опирающиеся на статические п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ороги, не способны предиктивно выявлять нелинейную деградацию аппаратных компонентов (таких как массивы SSD MEGARAID).</w:t>
      </w:r>
      <w:r>
        <w:rPr>
          <w:sz w:val="28"/>
          <w:szCs w:val="28"/>
        </w:rPr>
      </w:r>
    </w:p>
    <w:p w14:paraId="789F0A95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Разработанная математическая модель адаптивного ансамблирования успешно решает эту проблему. За счет динамического пересчета весовых коэффициентов на основе исторической ошибки, система автоматически подстраивается под тип анализируемых данных.</w:t>
        <w:br/>
        <w:t xml:space="preserve">Вычислитель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ный эксперимент подтвердил высокую эффективность предложенного подхода. На линейных сезонных данных (нагрузка на Hyper-V) гибридная модель отсекает переобучение нейросети, а на задачах выявления аппаратной деградации (Latency) — нивелирует «слепоту» статис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тических алгоритмов. В результате интегральная модель продемонстрировала снижение ошибки прогнозирования (RMSE) в среднем на 18% по сравнению с чистой LSTM и на 24% по сравнению с SARIMA.</w:t>
        <w:br/>
        <w:t xml:space="preserve">Внедрение разработанного алгоритма в контур компьютерных систем подд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ержки принятия решений (КСППР) позволит ИТ-подразделениям перейти к стратегии предиктивного обслуживания, минимизируя риски внезапных простоев и повышая общую отказоустойчивость виртуализированных инфраструктур.</w:t>
      </w:r>
      <w:r>
        <w:rPr>
          <w:sz w:val="28"/>
          <w:szCs w:val="28"/>
        </w:rPr>
      </w:r>
    </w:p>
    <w:p w14:paraId="75CE48E4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afterLines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</w:rPr>
      </w:r>
    </w:p>
    <w:p w14:paraId="721B49A9">
      <w:p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 w:left="0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СПИСОК ЛИТЕРАТУРЫ</w:t>
      </w:r>
      <w:r>
        <w:rPr>
          <w:sz w:val="28"/>
          <w:szCs w:val="28"/>
        </w:rPr>
      </w:r>
    </w:p>
    <w:p w14:paraId="4059DB95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Бокс Дж., Дженкинс Г. Анализ временных рядов. Прогноз и управление. – М.: Мир, 1974. – 406 с.</w:t>
      </w:r>
      <w:r>
        <w:rPr>
          <w:sz w:val="28"/>
          <w:szCs w:val="28"/>
        </w:rPr>
      </w:r>
    </w:p>
    <w:p w14:paraId="5E5330A9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Лукашин Ю.П. Адаптивные методы краткосрочного прогнозирования временных рядов. – М.: Финансы и статистика, 2003. – 416 с.</w:t>
      </w:r>
      <w:r>
        <w:rPr>
          <w:sz w:val="28"/>
          <w:szCs w:val="28"/>
        </w:rPr>
      </w:r>
    </w:p>
    <w:p w14:paraId="66F941E4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Hochreiter S., Schmidhuber J. Long Short-Term Memory // Neural Computation. – 1997. – Vol. 9, No. 8. – P. 1735-1780.</w:t>
      </w:r>
      <w:r>
        <w:rPr>
          <w:sz w:val="28"/>
          <w:szCs w:val="28"/>
        </w:rPr>
      </w:r>
    </w:p>
    <w:p w14:paraId="33B19016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Макаров А.В., Смирнов П.И. Прогнозирование отказов дисковых подсистем на основе анализа SMART-метрик // Вестник компьютерных и информационных технологий. – 2021. – № 4. – С. 22-29.</w:t>
      </w:r>
      <w:r>
        <w:rPr>
          <w:sz w:val="28"/>
          <w:szCs w:val="28"/>
        </w:rPr>
      </w:r>
    </w:p>
    <w:p w14:paraId="4981E039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Чернов А.В., Агафонов А.А. Композиция методов машинного обучения для прогнозирования временных рядов // Компьютерная оптика. – 2018. – Т. 42, № 2. – С. 315-322.</w:t>
      </w:r>
      <w:r>
        <w:rPr>
          <w:sz w:val="28"/>
          <w:szCs w:val="28"/>
        </w:rPr>
      </w:r>
    </w:p>
    <w:p w14:paraId="6D30D62E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Клементьев А.А. Моделирование процессов деградации в отказоустойчивых серверных кластерах // Системный анализ и управление. – 2020. – № 11. – С. 45-53.</w:t>
      </w:r>
      <w:r>
        <w:rPr>
          <w:sz w:val="28"/>
          <w:szCs w:val="28"/>
        </w:rPr>
      </w:r>
    </w:p>
    <w:p w14:paraId="55C4EBE2">
      <w:pPr>
        <w:pStyle w:val="892"/>
        <w:numPr>
          <w:ilvl w:val="0"/>
          <w:numId w:val="1"/>
        </w:numPr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afterAutospacing="0" w:line="360" w:lineRule="auto"/>
        <w:ind w:right="0" w:firstLine="425"/>
        <w:contextualSpacing w:val="true"/>
        <w:jc w:val="both"/>
        <w:rPr>
          <w:sz w:val="28"/>
          <w:szCs w:val="28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Zhang G.P. Time series forecasting using a hybrid ARIMA and neural network model // Neurocomputing. – 2003. – Vol. 50. – P. 159-175.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</w:r>
      <w:r>
        <w:rPr>
          <w:sz w:val="28"/>
          <w:szCs w:val="28"/>
        </w:rPr>
      </w:r>
    </w:p>
    <w:p>
      <w:pPr>
        <w:suppressLineNumbers w:val="false"/>
        <w:pBdr/>
        <w:spacing w:after="0" w:afterAutospacing="0" w:line="360" w:lineRule="auto"/>
        <w:ind w:firstLine="425"/>
        <w:contextualSpacing w:val="true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AC1B1F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2026-03-05T04:32:04Z</dcterms:modified>
</cp:coreProperties>
</file>