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A1A23">
      <w:pPr>
        <w:ind w:left="0" w:leftChars="0" w:firstLine="684" w:firstLineChars="214"/>
        <w:jc w:val="center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 xml:space="preserve">Нематериальные активы </w:t>
      </w:r>
    </w:p>
    <w:p w14:paraId="76B31941">
      <w:pPr>
        <w:ind w:left="0" w:leftChars="0" w:firstLine="684" w:firstLineChars="214"/>
        <w:jc w:val="center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ru-RU" w:eastAsia="zh-CN"/>
        </w:rPr>
        <w:t>организации</w:t>
      </w:r>
    </w:p>
    <w:p w14:paraId="2B5637D4">
      <w:pPr>
        <w:ind w:left="0" w:leftChars="0" w:firstLine="684" w:firstLineChars="214"/>
        <w:jc w:val="center"/>
        <w:rPr>
          <w:rFonts w:hint="default" w:ascii="Times New Roman" w:hAnsi="Times New Roman" w:cs="Times New Roman"/>
          <w:sz w:val="32"/>
          <w:szCs w:val="32"/>
          <w:lang w:val="ru-RU" w:eastAsia="zh-CN"/>
        </w:rPr>
      </w:pPr>
    </w:p>
    <w:p w14:paraId="4E99F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Нематериальные активы играют важную роль в современном бизнесе, так как они могут значительно влиять на конкурентоспособность и финансовые результаты компании. Для оценки эффективности их использования применяются различные показатели, среди которых выделяются коэффициент оборачиваемости нематериальных активов и коэффициент рентабельности нематериальных активов.</w:t>
      </w:r>
    </w:p>
    <w:p w14:paraId="53F32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5DD1F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Показатели для оценки эффективности использования нематериальных активов</w:t>
      </w:r>
    </w:p>
    <w:p w14:paraId="7520A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Коэффициент оборачиваемости нематериальных активов показывает, насколько эффективно компания использует свои нематериальные активы для генерации дохода. Он рассчитывается по формуле:</w:t>
      </w:r>
    </w:p>
    <w:p w14:paraId="523062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ru-RU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К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об.НМА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 xml:space="preserve"> = 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B</m:t>
              </m: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НМА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7A4B9A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>К_об.НМА — показатель, отражающий скорость оборота нематериальных активов;</w:t>
      </w:r>
    </w:p>
    <w:p w14:paraId="5E45B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>В — выручка за анализируемый период;</w:t>
      </w:r>
    </w:p>
    <w:p w14:paraId="1F5E3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 w:bidi="ar-SA"/>
        </w:rPr>
      </w:pPr>
      <w:r>
        <m:rPr/>
        <w:rPr>
          <w:rFonts w:hint="default" w:ascii="Times New Roman" w:hAnsi="Times New Roman" w:cs="Times New Roman"/>
          <w:i w:val="0"/>
          <w:sz w:val="28"/>
          <w:szCs w:val="28"/>
          <w:lang w:val="en-US" w:eastAsia="zh-CN"/>
        </w:rPr>
        <w:t>С_НМА — средняя стоимость нематериальных активов за этот период, рассчитанная на основе данных бухгалтерского баланса.</w:t>
      </w:r>
    </w:p>
    <w:p w14:paraId="0EA57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Этот показатель позволяет оценить, сколько выручки генерируется на каждый рубль, вложенный в нематериальные активы.</w:t>
      </w:r>
    </w:p>
    <w:p w14:paraId="780752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Коэффициент рентабельности нематериальных активов отражает, какую прибыль приносит компания на каждый рубль, вложенный в нематериальные активы. Он рассчитывается следующим образом:</w:t>
      </w:r>
    </w:p>
    <w:p w14:paraId="16C1D7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К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рен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.НМА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eastAsia="zh-CN" w:bidi="ar-SA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  <m:t>ЧП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С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  <m:t>НМА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eastAsia="zh-CN" w:bidi="ar-SA"/>
                </w:rPr>
              </m:ctrlPr>
            </m:den>
          </m:f>
        </m:oMath>
      </m:oMathPara>
    </w:p>
    <w:p w14:paraId="3EBDB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Этот показатель помогает понять, насколько эффективно нематериальные активы способствуют получению прибыли.</w:t>
      </w:r>
    </w:p>
    <w:p w14:paraId="291311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29E9B1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Расчёты</w:t>
      </w:r>
      <w:r>
        <w:rPr>
          <w:rFonts w:hint="default" w:ascii="Times New Roman" w:hAnsi="Times New Roman" w:cs="Times New Roman"/>
          <w:sz w:val="28"/>
          <w:szCs w:val="28"/>
        </w:rPr>
        <w:t xml:space="preserve"> и анализ результатов</w:t>
      </w:r>
    </w:p>
    <w:p w14:paraId="0DBF1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Для проведения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расчётов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необходимо иметь данные о выручке, прибыли и стоимости нематериальных активов компании. Предположим, что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у компании</w:t>
      </w:r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выручка составляет 10 миллионов рублей, прибыль — 2 миллиона рублей, а стоимость нематериальных активов — 5 миллионов рублей.</w:t>
      </w:r>
    </w:p>
    <w:p w14:paraId="2B5DA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061816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Коэффициент оборачиваемости нематериальных активов:</w:t>
      </w:r>
    </w:p>
    <w:p w14:paraId="128CD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11B12B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10,000,000 / 5,000,000 = 2</w:t>
      </w:r>
    </w:p>
    <w:p w14:paraId="09523F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91DD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означает, что на каждый рубль, вложенный в нематериальные активы, компания генерирует 2 рубля выручки.</w:t>
      </w:r>
    </w:p>
    <w:p w14:paraId="71C78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075A7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trike w:val="0"/>
          <w:dstrike w:val="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trike w:val="0"/>
          <w:dstrike w:val="0"/>
          <w:sz w:val="28"/>
          <w:szCs w:val="28"/>
          <w:u w:val="single"/>
        </w:rPr>
        <w:t>Коэффициент рентабельности нематериальных активов:</w:t>
      </w:r>
    </w:p>
    <w:p w14:paraId="66A0D6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trike w:val="0"/>
          <w:dstrike w:val="0"/>
          <w:sz w:val="28"/>
          <w:szCs w:val="28"/>
          <w:u w:val="single"/>
        </w:rPr>
      </w:pPr>
    </w:p>
    <w:p w14:paraId="382163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2,000,000 / 5,000,000 = 0.4</w:t>
      </w:r>
    </w:p>
    <w:p w14:paraId="2CD3C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DA07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Коэффициент оборачиваемости нематериальных активов и коэффициент рентабельности нематериальных активов являются основными показателями, позволяющими оценить эффективность использования нематериальных активов организации.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Коэффициент оборачиваемости нематериальных активов показывает, сколько раз за период организация использовала свои нематериальные активы. Он рассчитывается как отношение выручки к средней стоимости нематериальных активов за период. </w:t>
      </w:r>
    </w:p>
    <w:p w14:paraId="33FD89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Коэффициент рентабельности нематериальных активов показывает, сколько прибыли приходится на единицу стоимости нематериальных активов. Он рассчитывается как отношение чистой прибыли к средней стоимости нематериальных активов за период.</w:t>
      </w:r>
    </w:p>
    <w:p w14:paraId="30E53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анализ показателей</w:t>
      </w:r>
    </w:p>
    <w:p w14:paraId="25F00F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Для проведения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расчётов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и анализа необходимо получить следующие данные:</w:t>
      </w:r>
    </w:p>
    <w:p w14:paraId="1F4B8D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39" w:firstLineChars="26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Выручка организации за период</w:t>
      </w:r>
    </w:p>
    <w:p w14:paraId="3E8853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39" w:firstLineChars="26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Чистая прибыль организации за период</w:t>
      </w:r>
    </w:p>
    <w:p w14:paraId="200FE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39" w:firstLineChars="26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Средняя стоимость нематериальных активов за период</w:t>
      </w:r>
    </w:p>
    <w:p w14:paraId="79751C80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0E093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Пример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расчёта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: Допустим, выручка организации за год составила 10 млн руб., чистая прибыль - 2 млн руб., а средняя стоимость нематериальных активов - 1 млн руб.Коэффициент оборачиваемости нематериальных активов = 10 млн руб. / 1 млн руб. = 10 Это означает, что нематериальные активы организации были использованы 10 раз за год.Коэффициент рентабельности нематериальных активов = 2 млн руб. / 1 млн руб. = 2 Это означает, что на 1 рубль стоимости нематериальных активов приходится 2 рубля чистой прибыли.Полученные результаты свидетельствуют об эффективном использовании нематериальных активов в организации.</w:t>
      </w:r>
    </w:p>
    <w:p w14:paraId="256FF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599" w:firstLineChars="214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Анализ показателей использования нематериальных активов позволяет сделать вывод об их эффективности и вкладе в деятельность организации. Высокие значения коэффициентов оборачиваемости и рентабельности говорят о том, что нематериальные активы приносят организации существенную прибыль и используются рационально. Данные показатели важно отслеживать и анализировать в динамике для принятия управленческих решений по развитию и совершенствованию использования нематериальных активов.</w:t>
      </w:r>
    </w:p>
    <w:p w14:paraId="744DFF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428" w:firstLineChars="214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C0F5B"/>
    <w:rsid w:val="046C0F5B"/>
    <w:rsid w:val="124064FE"/>
    <w:rsid w:val="22322BA7"/>
    <w:rsid w:val="51F6691B"/>
    <w:rsid w:val="573B502A"/>
    <w:rsid w:val="70E14A02"/>
    <w:rsid w:val="738C5E9F"/>
    <w:rsid w:val="74BE1A94"/>
    <w:rsid w:val="798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2025-02-17T13:21:00Z</dcterms:created>
  <dc:creator>79527</dc:creator>
  <cp:lastModifiedBy>79527</cp:lastModifiedBy>
  <dcterms:modified xsi:type="dcterms:W3CDTF">2025-02-17T14:52:40Z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780CA28935864E7087FBFE56F992E9C4_13</vt:lpwstr>
  </property>
</Properties>
</file>