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370A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778">
        <w:rPr>
          <w:rFonts w:ascii="Times New Roman" w:hAnsi="Times New Roman" w:cs="Times New Roman"/>
          <w:sz w:val="28"/>
          <w:szCs w:val="28"/>
        </w:rPr>
        <w:t>Южная Корея:</w:t>
      </w:r>
      <w:r w:rsidRPr="000F4778">
        <w:rPr>
          <w:rFonts w:ascii="Times New Roman" w:hAnsi="Times New Roman" w:cs="Times New Roman"/>
          <w:sz w:val="28"/>
          <w:szCs w:val="28"/>
        </w:rPr>
        <w:br/>
        <w:t>В Южной Корее учет нематериальных активов (НМА) осуществляется на основе международных стандартов финансовой отчетности (МСФО) и положений Корейского гражданского кодекса. Основным стандартом бухгалтерского учета является Korean IFRS (K-IFRS). Согласно K-IFRS, к НМА относятся патенты, лицензии, товарные знаки, авторские права, программное обеспечение, ноу-хау и другие нематериальные активы.</w:t>
      </w:r>
      <w:r w:rsidRPr="000F4778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50448BF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</w:rPr>
      </w:pPr>
      <w:r w:rsidRPr="000F4778">
        <w:rPr>
          <w:rFonts w:ascii="Times New Roman" w:hAnsi="Times New Roman" w:cs="Times New Roman"/>
          <w:sz w:val="28"/>
          <w:szCs w:val="28"/>
        </w:rPr>
        <w:t>Китай:</w:t>
      </w:r>
    </w:p>
    <w:p w14:paraId="50679BDE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778">
        <w:rPr>
          <w:rFonts w:ascii="Times New Roman" w:hAnsi="Times New Roman" w:cs="Times New Roman"/>
          <w:sz w:val="28"/>
          <w:szCs w:val="28"/>
        </w:rPr>
        <w:t>В Китае учет НМА регулируется Китайскими бухгалтерскими стандартами (CAS) и адаптированными Международными стандартами финансовой отчетности (МСФО), известными как "China GAAP". В рамках China GAAP к НМА относятся патенты, лицензии, товарные знаки, авторские права, программное обеспечение, ноу-хау и другие активы. Кроме того, CAS предусматривают особые требования для некоторых видов НМА, например, для программного обеспечения, приобретенного за границей.Япония</w:t>
      </w:r>
      <w:r w:rsidRPr="000F4778">
        <w:rPr>
          <w:rFonts w:ascii="Times New Roman" w:hAnsi="Times New Roman" w:cs="Times New Roman"/>
          <w:sz w:val="28"/>
          <w:szCs w:val="28"/>
        </w:rPr>
        <w:br/>
        <w:t>В Японии учет НМА осуществляется в соответствии с Японскими стандартами бухгалтерского учета (J-GAAP) и Японскими международными стандартами финансовой отчетности (J-IFRS). В рамках J-GAAP и J-IFRS к НМА относятся патенты, лицензии, товарные знаки, авторские права, программное обеспечение, ноу-хау и другие нематериальные активы. Следует учитывать, что J-GAAP и J-IFRS могут подвергаться изменениям и дополнениям.</w:t>
      </w:r>
    </w:p>
    <w:p w14:paraId="31D378F4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3F24C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778">
        <w:rPr>
          <w:rFonts w:ascii="Times New Roman" w:hAnsi="Times New Roman" w:cs="Times New Roman"/>
          <w:sz w:val="28"/>
          <w:szCs w:val="28"/>
        </w:rPr>
        <w:t>Германия:</w:t>
      </w:r>
      <w:r w:rsidRPr="000F4778">
        <w:rPr>
          <w:rFonts w:ascii="Times New Roman" w:hAnsi="Times New Roman" w:cs="Times New Roman"/>
          <w:sz w:val="28"/>
          <w:szCs w:val="28"/>
        </w:rPr>
        <w:br/>
        <w:t>В Германии учет НМА регулируется Немецкими стандартами бухгалтерского учета (HGB) и Международными стандартами финансовой отчетности (IFRS). Согласно HGB и IFRS, к НМА относятся патенты, лицензии, товарные знаки, авторские права, программное обеспечение, ноу-хау и другие активы. Особенности учета НМА в Германии зависят от размера и типа компании, а также от применяемых стандартов.</w:t>
      </w:r>
    </w:p>
    <w:p w14:paraId="1603164B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AF611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778">
        <w:rPr>
          <w:rFonts w:ascii="Times New Roman" w:hAnsi="Times New Roman" w:cs="Times New Roman"/>
          <w:sz w:val="28"/>
          <w:szCs w:val="28"/>
        </w:rPr>
        <w:t>США:</w:t>
      </w:r>
      <w:r w:rsidRPr="000F4778">
        <w:rPr>
          <w:rFonts w:ascii="Times New Roman" w:hAnsi="Times New Roman" w:cs="Times New Roman"/>
          <w:sz w:val="28"/>
          <w:szCs w:val="28"/>
        </w:rPr>
        <w:br/>
        <w:t xml:space="preserve">В Соединенных Штатах учет НМА осуществляется в соответствии с Федеральным стандартом бухгалтерского учета (GAAP) и Международными стандартами финансовой отчетности (IFRS). В рамках GAAP и IFRS к НМА </w:t>
      </w:r>
      <w:r w:rsidRPr="000F4778">
        <w:rPr>
          <w:rFonts w:ascii="Times New Roman" w:hAnsi="Times New Roman" w:cs="Times New Roman"/>
          <w:sz w:val="28"/>
          <w:szCs w:val="28"/>
        </w:rPr>
        <w:lastRenderedPageBreak/>
        <w:t>относятся патенты, лицензии, товарные знаки, авторские права, программное обеспечение, ноу-хау и другие нематериальные активы.</w:t>
      </w:r>
    </w:p>
    <w:p w14:paraId="7B3EB434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41A6A" w14:textId="77777777" w:rsidR="00802CB0" w:rsidRDefault="00802CB0" w:rsidP="00802C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4778">
        <w:rPr>
          <w:rFonts w:ascii="Times New Roman" w:hAnsi="Times New Roman" w:cs="Times New Roman"/>
          <w:sz w:val="28"/>
          <w:szCs w:val="28"/>
        </w:rPr>
        <w:t>Франция</w:t>
      </w:r>
      <w:r w:rsidRPr="000F4778">
        <w:rPr>
          <w:rFonts w:ascii="Times New Roman" w:hAnsi="Times New Roman" w:cs="Times New Roman"/>
          <w:sz w:val="28"/>
          <w:szCs w:val="28"/>
        </w:rPr>
        <w:br/>
        <w:t>Во Франции учет НМА ведется на основе международных стандартов финансовой отчетности (МСФО) и национальных бухгалтерских правил. К НМА относятся патенты, лицензии, товарные знаки, авторские права, программное обеспечение, франшизы и другие права интеллектуальной собственности. Учет НМА во Франции играет важную роль в финансовой отчетности компаний, отражая стоимость и значимость нематериальных активов. Процедуры учета соответствуют международным стандартам и национальным требованиям, что обеспечивает прозрачность и достоверность финансовой информации.</w:t>
      </w:r>
    </w:p>
    <w:p w14:paraId="5FC62128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F2F4C4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</w:rPr>
      </w:pPr>
      <w:r w:rsidRPr="000F4778">
        <w:rPr>
          <w:rFonts w:ascii="Times New Roman" w:hAnsi="Times New Roman" w:cs="Times New Roman"/>
          <w:sz w:val="28"/>
          <w:szCs w:val="28"/>
        </w:rPr>
        <w:t>Перенятие опыта в России и ее адаптация под наши реалии</w:t>
      </w:r>
    </w:p>
    <w:p w14:paraId="59A4D8FF" w14:textId="77777777" w:rsidR="00802CB0" w:rsidRPr="000F4778" w:rsidRDefault="00802CB0" w:rsidP="00802CB0">
      <w:pPr>
        <w:rPr>
          <w:rFonts w:ascii="Times New Roman" w:hAnsi="Times New Roman" w:cs="Times New Roman"/>
          <w:sz w:val="28"/>
          <w:szCs w:val="28"/>
        </w:rPr>
      </w:pPr>
      <w:r w:rsidRPr="000F4778">
        <w:rPr>
          <w:rFonts w:ascii="Times New Roman" w:hAnsi="Times New Roman" w:cs="Times New Roman"/>
          <w:sz w:val="28"/>
          <w:szCs w:val="28"/>
        </w:rPr>
        <w:t>Опыт таких стран, как Япония, Южная Корея и США, представляет особый интерес для адаптации в российской практике, поскольку их экономика и стандарты учета НМА хорошо развиты. Однако, учитывая особенности российских условий, подход Франции может быть наиболее подходящим.</w:t>
      </w:r>
    </w:p>
    <w:p w14:paraId="555FD4EF" w14:textId="77777777" w:rsidR="00B8555F" w:rsidRDefault="00B8555F"/>
    <w:sectPr w:rsidR="00B85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5F"/>
    <w:rsid w:val="00802CB0"/>
    <w:rsid w:val="00B8555F"/>
    <w:rsid w:val="00C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DC28D"/>
  <w15:chartTrackingRefBased/>
  <w15:docId w15:val="{AFAD664B-CC1D-447F-8E46-3D2A6818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CB0"/>
  </w:style>
  <w:style w:type="paragraph" w:styleId="1">
    <w:name w:val="heading 1"/>
    <w:basedOn w:val="a"/>
    <w:next w:val="a"/>
    <w:link w:val="10"/>
    <w:uiPriority w:val="9"/>
    <w:qFormat/>
    <w:rsid w:val="00B85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5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5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5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55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55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55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55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55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55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5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55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55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55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5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55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5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Lolik Exsapism</dc:creator>
  <cp:keywords/>
  <dc:description/>
  <cp:lastModifiedBy>Lolik Exsapism</cp:lastModifiedBy>
  <cp:revision>2</cp:revision>
  <dcterms:created xsi:type="dcterms:W3CDTF">2025-02-17T11:59:00Z</dcterms:created>
  <dcterms:modified xsi:type="dcterms:W3CDTF">2025-02-17T11:59:00Z</dcterms:modified>
</cp:coreProperties>
</file>