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56C8" w14:textId="2363BD4C" w:rsidR="00F925AB" w:rsidRPr="007940AD" w:rsidRDefault="007940AD" w:rsidP="006075CD">
      <w:pPr>
        <w:jc w:val="right"/>
        <w:rPr>
          <w:rFonts w:ascii="Times New Roman" w:hAnsi="Times New Roman" w:cs="Times New Roman"/>
          <w:sz w:val="28"/>
          <w:szCs w:val="28"/>
        </w:rPr>
      </w:pPr>
      <w:r w:rsidRPr="007940AD">
        <w:rPr>
          <w:rFonts w:ascii="Times New Roman" w:hAnsi="Times New Roman" w:cs="Times New Roman"/>
          <w:sz w:val="28"/>
          <w:szCs w:val="28"/>
        </w:rPr>
        <w:t>Приложение Б</w:t>
      </w:r>
    </w:p>
    <w:p w14:paraId="7777221D" w14:textId="32F21936" w:rsidR="007940AD" w:rsidRPr="007940AD" w:rsidRDefault="007940AD" w:rsidP="006075CD">
      <w:pPr>
        <w:jc w:val="center"/>
        <w:rPr>
          <w:rFonts w:ascii="Times New Roman" w:hAnsi="Times New Roman" w:cs="Times New Roman"/>
          <w:sz w:val="28"/>
          <w:szCs w:val="28"/>
        </w:rPr>
      </w:pPr>
      <w:r w:rsidRPr="007940AD">
        <w:rPr>
          <w:rFonts w:ascii="Times New Roman" w:hAnsi="Times New Roman" w:cs="Times New Roman"/>
          <w:sz w:val="28"/>
          <w:szCs w:val="28"/>
        </w:rPr>
        <w:t>Динамика показателей экономической эффективности коммерческой деятельности ООО «Глобус»</w:t>
      </w:r>
    </w:p>
    <w:tbl>
      <w:tblPr>
        <w:tblW w:w="9375" w:type="dxa"/>
        <w:tblLook w:val="04A0" w:firstRow="1" w:lastRow="0" w:firstColumn="1" w:lastColumn="0" w:noHBand="0" w:noVBand="1"/>
      </w:tblPr>
      <w:tblGrid>
        <w:gridCol w:w="3823"/>
        <w:gridCol w:w="1826"/>
        <w:gridCol w:w="1826"/>
        <w:gridCol w:w="1900"/>
      </w:tblGrid>
      <w:tr w:rsidR="007940AD" w:rsidRPr="007940AD" w14:paraId="2D24B56E" w14:textId="77777777" w:rsidTr="007940AD">
        <w:trPr>
          <w:trHeight w:val="315"/>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52D9"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Показатели</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18C304A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Прошлый год</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0C957E5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Отчетный год</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5E1D82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Отклонение (+, -)</w:t>
            </w:r>
          </w:p>
        </w:tc>
      </w:tr>
      <w:tr w:rsidR="007940AD" w:rsidRPr="007940AD" w14:paraId="4A9F1DBB" w14:textId="77777777" w:rsidTr="007940AD">
        <w:trPr>
          <w:trHeight w:val="31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74510EA1"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продаж, %</w:t>
            </w:r>
          </w:p>
        </w:tc>
        <w:tc>
          <w:tcPr>
            <w:tcW w:w="1826" w:type="dxa"/>
            <w:tcBorders>
              <w:top w:val="nil"/>
              <w:left w:val="nil"/>
              <w:bottom w:val="single" w:sz="4" w:space="0" w:color="auto"/>
              <w:right w:val="single" w:sz="4" w:space="0" w:color="auto"/>
            </w:tcBorders>
            <w:shd w:val="clear" w:color="auto" w:fill="auto"/>
            <w:noWrap/>
            <w:vAlign w:val="center"/>
            <w:hideMark/>
          </w:tcPr>
          <w:p w14:paraId="64AB363D"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7,89</w:t>
            </w:r>
          </w:p>
        </w:tc>
        <w:tc>
          <w:tcPr>
            <w:tcW w:w="1826" w:type="dxa"/>
            <w:tcBorders>
              <w:top w:val="nil"/>
              <w:left w:val="nil"/>
              <w:bottom w:val="single" w:sz="4" w:space="0" w:color="auto"/>
              <w:right w:val="single" w:sz="4" w:space="0" w:color="auto"/>
            </w:tcBorders>
            <w:shd w:val="clear" w:color="auto" w:fill="auto"/>
            <w:noWrap/>
            <w:vAlign w:val="center"/>
            <w:hideMark/>
          </w:tcPr>
          <w:p w14:paraId="174CB6D4"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9,71</w:t>
            </w:r>
          </w:p>
        </w:tc>
        <w:tc>
          <w:tcPr>
            <w:tcW w:w="1900" w:type="dxa"/>
            <w:tcBorders>
              <w:top w:val="nil"/>
              <w:left w:val="nil"/>
              <w:bottom w:val="single" w:sz="4" w:space="0" w:color="auto"/>
              <w:right w:val="single" w:sz="4" w:space="0" w:color="auto"/>
            </w:tcBorders>
            <w:shd w:val="clear" w:color="auto" w:fill="auto"/>
            <w:noWrap/>
            <w:vAlign w:val="center"/>
            <w:hideMark/>
          </w:tcPr>
          <w:p w14:paraId="750E8F5F"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1,82</w:t>
            </w:r>
          </w:p>
        </w:tc>
      </w:tr>
      <w:tr w:rsidR="007940AD" w:rsidRPr="007940AD" w14:paraId="65E9A33E" w14:textId="77777777" w:rsidTr="007940AD">
        <w:trPr>
          <w:trHeight w:val="94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544704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коммерческой деятельности, %</w:t>
            </w:r>
          </w:p>
        </w:tc>
        <w:tc>
          <w:tcPr>
            <w:tcW w:w="1826" w:type="dxa"/>
            <w:tcBorders>
              <w:top w:val="nil"/>
              <w:left w:val="nil"/>
              <w:bottom w:val="single" w:sz="4" w:space="0" w:color="auto"/>
              <w:right w:val="single" w:sz="4" w:space="0" w:color="auto"/>
            </w:tcBorders>
            <w:shd w:val="clear" w:color="auto" w:fill="auto"/>
            <w:noWrap/>
            <w:vAlign w:val="center"/>
            <w:hideMark/>
          </w:tcPr>
          <w:p w14:paraId="3D93B8A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4,71</w:t>
            </w:r>
          </w:p>
        </w:tc>
        <w:tc>
          <w:tcPr>
            <w:tcW w:w="1826" w:type="dxa"/>
            <w:tcBorders>
              <w:top w:val="nil"/>
              <w:left w:val="nil"/>
              <w:bottom w:val="single" w:sz="4" w:space="0" w:color="auto"/>
              <w:right w:val="single" w:sz="4" w:space="0" w:color="auto"/>
            </w:tcBorders>
            <w:shd w:val="clear" w:color="auto" w:fill="auto"/>
            <w:noWrap/>
            <w:vAlign w:val="center"/>
            <w:hideMark/>
          </w:tcPr>
          <w:p w14:paraId="67205B66"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5,31</w:t>
            </w:r>
          </w:p>
        </w:tc>
        <w:tc>
          <w:tcPr>
            <w:tcW w:w="1900" w:type="dxa"/>
            <w:tcBorders>
              <w:top w:val="nil"/>
              <w:left w:val="nil"/>
              <w:bottom w:val="single" w:sz="4" w:space="0" w:color="auto"/>
              <w:right w:val="single" w:sz="4" w:space="0" w:color="auto"/>
            </w:tcBorders>
            <w:shd w:val="clear" w:color="auto" w:fill="auto"/>
            <w:noWrap/>
            <w:vAlign w:val="center"/>
            <w:hideMark/>
          </w:tcPr>
          <w:p w14:paraId="5F5F4BB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0,60</w:t>
            </w:r>
          </w:p>
        </w:tc>
      </w:tr>
      <w:tr w:rsidR="007940AD" w:rsidRPr="007940AD" w14:paraId="1B98ECE6" w14:textId="77777777" w:rsidTr="007940AD">
        <w:trPr>
          <w:trHeight w:val="31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4F287EF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затрат, %</w:t>
            </w:r>
          </w:p>
        </w:tc>
        <w:tc>
          <w:tcPr>
            <w:tcW w:w="1826" w:type="dxa"/>
            <w:tcBorders>
              <w:top w:val="nil"/>
              <w:left w:val="nil"/>
              <w:bottom w:val="single" w:sz="4" w:space="0" w:color="auto"/>
              <w:right w:val="single" w:sz="4" w:space="0" w:color="auto"/>
            </w:tcBorders>
            <w:shd w:val="clear" w:color="auto" w:fill="auto"/>
            <w:noWrap/>
            <w:vAlign w:val="center"/>
            <w:hideMark/>
          </w:tcPr>
          <w:p w14:paraId="5F9B330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57,53</w:t>
            </w:r>
          </w:p>
        </w:tc>
        <w:tc>
          <w:tcPr>
            <w:tcW w:w="1826" w:type="dxa"/>
            <w:tcBorders>
              <w:top w:val="nil"/>
              <w:left w:val="nil"/>
              <w:bottom w:val="single" w:sz="4" w:space="0" w:color="auto"/>
              <w:right w:val="single" w:sz="4" w:space="0" w:color="auto"/>
            </w:tcBorders>
            <w:shd w:val="clear" w:color="auto" w:fill="auto"/>
            <w:noWrap/>
            <w:vAlign w:val="center"/>
            <w:hideMark/>
          </w:tcPr>
          <w:p w14:paraId="60016BF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93,49</w:t>
            </w:r>
          </w:p>
        </w:tc>
        <w:tc>
          <w:tcPr>
            <w:tcW w:w="1900" w:type="dxa"/>
            <w:tcBorders>
              <w:top w:val="nil"/>
              <w:left w:val="nil"/>
              <w:bottom w:val="single" w:sz="4" w:space="0" w:color="auto"/>
              <w:right w:val="single" w:sz="4" w:space="0" w:color="auto"/>
            </w:tcBorders>
            <w:shd w:val="clear" w:color="auto" w:fill="auto"/>
            <w:noWrap/>
            <w:vAlign w:val="center"/>
            <w:hideMark/>
          </w:tcPr>
          <w:p w14:paraId="31977CB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35,96</w:t>
            </w:r>
          </w:p>
        </w:tc>
      </w:tr>
      <w:tr w:rsidR="007940AD" w:rsidRPr="007940AD" w14:paraId="7BA58EE7"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4C4FAA9"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Оборачиваемость товарных запасов, дни</w:t>
            </w:r>
          </w:p>
        </w:tc>
        <w:tc>
          <w:tcPr>
            <w:tcW w:w="1826" w:type="dxa"/>
            <w:tcBorders>
              <w:top w:val="nil"/>
              <w:left w:val="nil"/>
              <w:bottom w:val="single" w:sz="4" w:space="0" w:color="auto"/>
              <w:right w:val="single" w:sz="4" w:space="0" w:color="auto"/>
            </w:tcBorders>
            <w:shd w:val="clear" w:color="auto" w:fill="auto"/>
            <w:noWrap/>
            <w:vAlign w:val="center"/>
            <w:hideMark/>
          </w:tcPr>
          <w:p w14:paraId="23D10D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29,00</w:t>
            </w:r>
          </w:p>
        </w:tc>
        <w:tc>
          <w:tcPr>
            <w:tcW w:w="1826" w:type="dxa"/>
            <w:tcBorders>
              <w:top w:val="nil"/>
              <w:left w:val="nil"/>
              <w:bottom w:val="single" w:sz="4" w:space="0" w:color="auto"/>
              <w:right w:val="single" w:sz="4" w:space="0" w:color="auto"/>
            </w:tcBorders>
            <w:shd w:val="clear" w:color="auto" w:fill="auto"/>
            <w:noWrap/>
            <w:vAlign w:val="center"/>
            <w:hideMark/>
          </w:tcPr>
          <w:p w14:paraId="260739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31,00</w:t>
            </w:r>
          </w:p>
        </w:tc>
        <w:tc>
          <w:tcPr>
            <w:tcW w:w="1900" w:type="dxa"/>
            <w:tcBorders>
              <w:top w:val="nil"/>
              <w:left w:val="nil"/>
              <w:bottom w:val="single" w:sz="4" w:space="0" w:color="auto"/>
              <w:right w:val="single" w:sz="4" w:space="0" w:color="auto"/>
            </w:tcBorders>
            <w:shd w:val="clear" w:color="auto" w:fill="auto"/>
            <w:noWrap/>
            <w:vAlign w:val="center"/>
            <w:hideMark/>
          </w:tcPr>
          <w:p w14:paraId="7E3613E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2,00</w:t>
            </w:r>
          </w:p>
        </w:tc>
      </w:tr>
      <w:tr w:rsidR="007940AD" w:rsidRPr="007940AD" w14:paraId="33A84FB6"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96830FA"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Оборачиваемость товарных запасов, раз</w:t>
            </w:r>
          </w:p>
        </w:tc>
        <w:tc>
          <w:tcPr>
            <w:tcW w:w="1826" w:type="dxa"/>
            <w:tcBorders>
              <w:top w:val="nil"/>
              <w:left w:val="nil"/>
              <w:bottom w:val="single" w:sz="4" w:space="0" w:color="auto"/>
              <w:right w:val="single" w:sz="4" w:space="0" w:color="auto"/>
            </w:tcBorders>
            <w:shd w:val="clear" w:color="auto" w:fill="auto"/>
            <w:noWrap/>
            <w:vAlign w:val="center"/>
            <w:hideMark/>
          </w:tcPr>
          <w:p w14:paraId="4D2BA07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12,41</w:t>
            </w:r>
          </w:p>
        </w:tc>
        <w:tc>
          <w:tcPr>
            <w:tcW w:w="1826" w:type="dxa"/>
            <w:tcBorders>
              <w:top w:val="nil"/>
              <w:left w:val="nil"/>
              <w:bottom w:val="single" w:sz="4" w:space="0" w:color="auto"/>
              <w:right w:val="single" w:sz="4" w:space="0" w:color="auto"/>
            </w:tcBorders>
            <w:shd w:val="clear" w:color="auto" w:fill="auto"/>
            <w:noWrap/>
            <w:vAlign w:val="center"/>
            <w:hideMark/>
          </w:tcPr>
          <w:p w14:paraId="1DB6DCA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11,61</w:t>
            </w:r>
          </w:p>
        </w:tc>
        <w:tc>
          <w:tcPr>
            <w:tcW w:w="1900" w:type="dxa"/>
            <w:tcBorders>
              <w:top w:val="nil"/>
              <w:left w:val="nil"/>
              <w:bottom w:val="single" w:sz="4" w:space="0" w:color="auto"/>
              <w:right w:val="single" w:sz="4" w:space="0" w:color="auto"/>
            </w:tcBorders>
            <w:shd w:val="clear" w:color="auto" w:fill="auto"/>
            <w:noWrap/>
            <w:vAlign w:val="center"/>
            <w:hideMark/>
          </w:tcPr>
          <w:p w14:paraId="0B3CB99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-0,80</w:t>
            </w:r>
          </w:p>
        </w:tc>
      </w:tr>
      <w:tr w:rsidR="007940AD" w:rsidRPr="007940AD" w14:paraId="66D489A4"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B06D700"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Производительность труда, тыс. руб./чел</w:t>
            </w:r>
          </w:p>
        </w:tc>
        <w:tc>
          <w:tcPr>
            <w:tcW w:w="1826" w:type="dxa"/>
            <w:tcBorders>
              <w:top w:val="nil"/>
              <w:left w:val="nil"/>
              <w:bottom w:val="single" w:sz="4" w:space="0" w:color="auto"/>
              <w:right w:val="single" w:sz="4" w:space="0" w:color="auto"/>
            </w:tcBorders>
            <w:shd w:val="clear" w:color="auto" w:fill="auto"/>
            <w:noWrap/>
            <w:vAlign w:val="center"/>
            <w:hideMark/>
          </w:tcPr>
          <w:p w14:paraId="30730B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1733,13</w:t>
            </w:r>
          </w:p>
        </w:tc>
        <w:tc>
          <w:tcPr>
            <w:tcW w:w="1826" w:type="dxa"/>
            <w:tcBorders>
              <w:top w:val="nil"/>
              <w:left w:val="nil"/>
              <w:bottom w:val="single" w:sz="4" w:space="0" w:color="auto"/>
              <w:right w:val="single" w:sz="4" w:space="0" w:color="auto"/>
            </w:tcBorders>
            <w:shd w:val="clear" w:color="auto" w:fill="auto"/>
            <w:noWrap/>
            <w:vAlign w:val="center"/>
            <w:hideMark/>
          </w:tcPr>
          <w:p w14:paraId="4894665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1999,22</w:t>
            </w:r>
          </w:p>
        </w:tc>
        <w:tc>
          <w:tcPr>
            <w:tcW w:w="1900" w:type="dxa"/>
            <w:tcBorders>
              <w:top w:val="nil"/>
              <w:left w:val="nil"/>
              <w:bottom w:val="single" w:sz="4" w:space="0" w:color="auto"/>
              <w:right w:val="single" w:sz="4" w:space="0" w:color="auto"/>
            </w:tcBorders>
            <w:shd w:val="clear" w:color="auto" w:fill="auto"/>
            <w:noWrap/>
            <w:vAlign w:val="center"/>
            <w:hideMark/>
          </w:tcPr>
          <w:p w14:paraId="0026AD5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266,09</w:t>
            </w:r>
          </w:p>
        </w:tc>
      </w:tr>
      <w:tr w:rsidR="007940AD" w:rsidRPr="007940AD" w14:paraId="10078F35"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02B14AC6"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Коэффициент ритмичности поставок</w:t>
            </w:r>
          </w:p>
        </w:tc>
        <w:tc>
          <w:tcPr>
            <w:tcW w:w="1826" w:type="dxa"/>
            <w:tcBorders>
              <w:top w:val="nil"/>
              <w:left w:val="nil"/>
              <w:bottom w:val="single" w:sz="4" w:space="0" w:color="auto"/>
              <w:right w:val="single" w:sz="4" w:space="0" w:color="auto"/>
            </w:tcBorders>
            <w:shd w:val="clear" w:color="auto" w:fill="auto"/>
            <w:noWrap/>
            <w:vAlign w:val="center"/>
            <w:hideMark/>
          </w:tcPr>
          <w:p w14:paraId="668E48E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1,00</w:t>
            </w:r>
          </w:p>
        </w:tc>
        <w:tc>
          <w:tcPr>
            <w:tcW w:w="1826" w:type="dxa"/>
            <w:tcBorders>
              <w:top w:val="nil"/>
              <w:left w:val="nil"/>
              <w:bottom w:val="single" w:sz="4" w:space="0" w:color="auto"/>
              <w:right w:val="single" w:sz="4" w:space="0" w:color="auto"/>
            </w:tcBorders>
            <w:shd w:val="clear" w:color="auto" w:fill="auto"/>
            <w:noWrap/>
            <w:vAlign w:val="center"/>
            <w:hideMark/>
          </w:tcPr>
          <w:p w14:paraId="7B8F778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1,00</w:t>
            </w:r>
          </w:p>
        </w:tc>
        <w:tc>
          <w:tcPr>
            <w:tcW w:w="1900" w:type="dxa"/>
            <w:tcBorders>
              <w:top w:val="nil"/>
              <w:left w:val="nil"/>
              <w:bottom w:val="single" w:sz="4" w:space="0" w:color="auto"/>
              <w:right w:val="single" w:sz="4" w:space="0" w:color="auto"/>
            </w:tcBorders>
            <w:shd w:val="clear" w:color="auto" w:fill="auto"/>
            <w:noWrap/>
            <w:vAlign w:val="center"/>
            <w:hideMark/>
          </w:tcPr>
          <w:p w14:paraId="49E92399"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0,00</w:t>
            </w:r>
          </w:p>
        </w:tc>
      </w:tr>
      <w:tr w:rsidR="007940AD" w:rsidRPr="007940AD" w14:paraId="6805DA08"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0D0DA9F1"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Уровень рентабельности заключенной сделки, %</w:t>
            </w:r>
          </w:p>
        </w:tc>
        <w:tc>
          <w:tcPr>
            <w:tcW w:w="1826" w:type="dxa"/>
            <w:tcBorders>
              <w:top w:val="nil"/>
              <w:left w:val="nil"/>
              <w:bottom w:val="single" w:sz="4" w:space="0" w:color="auto"/>
              <w:right w:val="single" w:sz="4" w:space="0" w:color="auto"/>
            </w:tcBorders>
            <w:shd w:val="clear" w:color="auto" w:fill="auto"/>
            <w:noWrap/>
            <w:vAlign w:val="center"/>
            <w:hideMark/>
          </w:tcPr>
          <w:p w14:paraId="603D332D"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1,28</w:t>
            </w:r>
          </w:p>
        </w:tc>
        <w:tc>
          <w:tcPr>
            <w:tcW w:w="1826" w:type="dxa"/>
            <w:tcBorders>
              <w:top w:val="nil"/>
              <w:left w:val="nil"/>
              <w:bottom w:val="single" w:sz="4" w:space="0" w:color="auto"/>
              <w:right w:val="single" w:sz="4" w:space="0" w:color="auto"/>
            </w:tcBorders>
            <w:shd w:val="clear" w:color="auto" w:fill="auto"/>
            <w:noWrap/>
            <w:vAlign w:val="center"/>
            <w:hideMark/>
          </w:tcPr>
          <w:p w14:paraId="26E1412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-1,51</w:t>
            </w:r>
          </w:p>
        </w:tc>
        <w:tc>
          <w:tcPr>
            <w:tcW w:w="1900" w:type="dxa"/>
            <w:tcBorders>
              <w:top w:val="nil"/>
              <w:left w:val="nil"/>
              <w:bottom w:val="single" w:sz="4" w:space="0" w:color="auto"/>
              <w:right w:val="single" w:sz="4" w:space="0" w:color="auto"/>
            </w:tcBorders>
            <w:shd w:val="clear" w:color="auto" w:fill="auto"/>
            <w:noWrap/>
            <w:vAlign w:val="center"/>
            <w:hideMark/>
          </w:tcPr>
          <w:p w14:paraId="2A8C6B8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-2,79</w:t>
            </w:r>
          </w:p>
        </w:tc>
      </w:tr>
      <w:tr w:rsidR="007940AD" w:rsidRPr="007940AD" w14:paraId="1DC48A83" w14:textId="77777777" w:rsidTr="007940AD">
        <w:trPr>
          <w:trHeight w:val="709"/>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438A436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 xml:space="preserve">Сумма доходов по закупленной партии товаров, т. р. </w:t>
            </w:r>
          </w:p>
        </w:tc>
        <w:tc>
          <w:tcPr>
            <w:tcW w:w="1826" w:type="dxa"/>
            <w:tcBorders>
              <w:top w:val="nil"/>
              <w:left w:val="nil"/>
              <w:bottom w:val="single" w:sz="4" w:space="0" w:color="auto"/>
              <w:right w:val="single" w:sz="4" w:space="0" w:color="auto"/>
            </w:tcBorders>
            <w:shd w:val="clear" w:color="auto" w:fill="auto"/>
            <w:noWrap/>
            <w:vAlign w:val="center"/>
            <w:hideMark/>
          </w:tcPr>
          <w:p w14:paraId="2A482F0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43702560,00</w:t>
            </w:r>
          </w:p>
        </w:tc>
        <w:tc>
          <w:tcPr>
            <w:tcW w:w="1826" w:type="dxa"/>
            <w:tcBorders>
              <w:top w:val="nil"/>
              <w:left w:val="nil"/>
              <w:bottom w:val="single" w:sz="4" w:space="0" w:color="auto"/>
              <w:right w:val="single" w:sz="4" w:space="0" w:color="auto"/>
            </w:tcBorders>
            <w:shd w:val="clear" w:color="auto" w:fill="auto"/>
            <w:noWrap/>
            <w:vAlign w:val="center"/>
            <w:hideMark/>
          </w:tcPr>
          <w:p w14:paraId="2E417910"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52996800,00</w:t>
            </w:r>
          </w:p>
        </w:tc>
        <w:tc>
          <w:tcPr>
            <w:tcW w:w="1900" w:type="dxa"/>
            <w:tcBorders>
              <w:top w:val="nil"/>
              <w:left w:val="nil"/>
              <w:bottom w:val="single" w:sz="4" w:space="0" w:color="auto"/>
              <w:right w:val="single" w:sz="4" w:space="0" w:color="auto"/>
            </w:tcBorders>
            <w:shd w:val="clear" w:color="auto" w:fill="auto"/>
            <w:noWrap/>
            <w:vAlign w:val="center"/>
            <w:hideMark/>
          </w:tcPr>
          <w:p w14:paraId="20CE19E8"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9294240,00</w:t>
            </w:r>
          </w:p>
        </w:tc>
      </w:tr>
      <w:tr w:rsidR="007940AD" w:rsidRPr="007940AD" w14:paraId="3590E56A"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8028408"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Оборот по закупленной партии товаров, т.р.</w:t>
            </w:r>
          </w:p>
        </w:tc>
        <w:tc>
          <w:tcPr>
            <w:tcW w:w="1826" w:type="dxa"/>
            <w:tcBorders>
              <w:top w:val="nil"/>
              <w:left w:val="nil"/>
              <w:bottom w:val="single" w:sz="4" w:space="0" w:color="auto"/>
              <w:right w:val="single" w:sz="4" w:space="0" w:color="auto"/>
            </w:tcBorders>
            <w:shd w:val="clear" w:color="auto" w:fill="auto"/>
            <w:noWrap/>
            <w:vAlign w:val="center"/>
            <w:hideMark/>
          </w:tcPr>
          <w:p w14:paraId="338FE27A"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182094000,00</w:t>
            </w:r>
          </w:p>
        </w:tc>
        <w:tc>
          <w:tcPr>
            <w:tcW w:w="1826" w:type="dxa"/>
            <w:tcBorders>
              <w:top w:val="nil"/>
              <w:left w:val="nil"/>
              <w:bottom w:val="single" w:sz="4" w:space="0" w:color="auto"/>
              <w:right w:val="single" w:sz="4" w:space="0" w:color="auto"/>
            </w:tcBorders>
            <w:shd w:val="clear" w:color="auto" w:fill="auto"/>
            <w:noWrap/>
            <w:vAlign w:val="center"/>
            <w:hideMark/>
          </w:tcPr>
          <w:p w14:paraId="31F0254F"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251734800,00</w:t>
            </w:r>
          </w:p>
        </w:tc>
        <w:tc>
          <w:tcPr>
            <w:tcW w:w="1900" w:type="dxa"/>
            <w:tcBorders>
              <w:top w:val="nil"/>
              <w:left w:val="nil"/>
              <w:bottom w:val="single" w:sz="4" w:space="0" w:color="auto"/>
              <w:right w:val="single" w:sz="4" w:space="0" w:color="auto"/>
            </w:tcBorders>
            <w:shd w:val="clear" w:color="auto" w:fill="auto"/>
            <w:noWrap/>
            <w:vAlign w:val="center"/>
            <w:hideMark/>
          </w:tcPr>
          <w:p w14:paraId="64D40A0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69640800,00</w:t>
            </w:r>
          </w:p>
        </w:tc>
      </w:tr>
      <w:tr w:rsidR="007940AD" w:rsidRPr="007940AD" w14:paraId="4D08BE39"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2BDE28F"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Издержки обращения по коммерческой сделке, т.р.</w:t>
            </w:r>
          </w:p>
        </w:tc>
        <w:tc>
          <w:tcPr>
            <w:tcW w:w="1826" w:type="dxa"/>
            <w:tcBorders>
              <w:top w:val="nil"/>
              <w:left w:val="nil"/>
              <w:bottom w:val="single" w:sz="4" w:space="0" w:color="auto"/>
              <w:right w:val="single" w:sz="4" w:space="0" w:color="auto"/>
            </w:tcBorders>
            <w:shd w:val="clear" w:color="auto" w:fill="auto"/>
            <w:noWrap/>
            <w:vAlign w:val="center"/>
            <w:hideMark/>
          </w:tcPr>
          <w:p w14:paraId="19A953A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34087996,80</w:t>
            </w:r>
          </w:p>
        </w:tc>
        <w:tc>
          <w:tcPr>
            <w:tcW w:w="1826" w:type="dxa"/>
            <w:tcBorders>
              <w:top w:val="nil"/>
              <w:left w:val="nil"/>
              <w:bottom w:val="single" w:sz="4" w:space="0" w:color="auto"/>
              <w:right w:val="single" w:sz="4" w:space="0" w:color="auto"/>
            </w:tcBorders>
            <w:shd w:val="clear" w:color="auto" w:fill="auto"/>
            <w:noWrap/>
            <w:vAlign w:val="center"/>
            <w:hideMark/>
          </w:tcPr>
          <w:p w14:paraId="0FFA0C80"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47955479,40</w:t>
            </w:r>
          </w:p>
        </w:tc>
        <w:tc>
          <w:tcPr>
            <w:tcW w:w="1900" w:type="dxa"/>
            <w:tcBorders>
              <w:top w:val="nil"/>
              <w:left w:val="nil"/>
              <w:bottom w:val="single" w:sz="4" w:space="0" w:color="auto"/>
              <w:right w:val="single" w:sz="4" w:space="0" w:color="auto"/>
            </w:tcBorders>
            <w:shd w:val="clear" w:color="auto" w:fill="auto"/>
            <w:noWrap/>
            <w:vAlign w:val="center"/>
            <w:hideMark/>
          </w:tcPr>
          <w:p w14:paraId="06BE492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13867482,60</w:t>
            </w:r>
          </w:p>
        </w:tc>
      </w:tr>
      <w:tr w:rsidR="007940AD" w:rsidRPr="007940AD" w14:paraId="74B80CAC" w14:textId="77777777" w:rsidTr="007940AD">
        <w:trPr>
          <w:trHeight w:val="94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637669DF"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Скорректированный уровень издержек обращения по коммерческой сделке, %</w:t>
            </w:r>
          </w:p>
        </w:tc>
        <w:tc>
          <w:tcPr>
            <w:tcW w:w="1826" w:type="dxa"/>
            <w:tcBorders>
              <w:top w:val="nil"/>
              <w:left w:val="nil"/>
              <w:bottom w:val="single" w:sz="4" w:space="0" w:color="auto"/>
              <w:right w:val="single" w:sz="4" w:space="0" w:color="auto"/>
            </w:tcBorders>
            <w:shd w:val="clear" w:color="auto" w:fill="auto"/>
            <w:noWrap/>
            <w:vAlign w:val="center"/>
            <w:hideMark/>
          </w:tcPr>
          <w:p w14:paraId="50C86F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18,72</w:t>
            </w:r>
          </w:p>
        </w:tc>
        <w:tc>
          <w:tcPr>
            <w:tcW w:w="1826" w:type="dxa"/>
            <w:tcBorders>
              <w:top w:val="nil"/>
              <w:left w:val="nil"/>
              <w:bottom w:val="single" w:sz="4" w:space="0" w:color="auto"/>
              <w:right w:val="single" w:sz="4" w:space="0" w:color="auto"/>
            </w:tcBorders>
            <w:shd w:val="clear" w:color="auto" w:fill="auto"/>
            <w:noWrap/>
            <w:vAlign w:val="center"/>
            <w:hideMark/>
          </w:tcPr>
          <w:p w14:paraId="3471D7C8"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19,05</w:t>
            </w:r>
          </w:p>
        </w:tc>
        <w:tc>
          <w:tcPr>
            <w:tcW w:w="1900" w:type="dxa"/>
            <w:tcBorders>
              <w:top w:val="nil"/>
              <w:left w:val="nil"/>
              <w:bottom w:val="single" w:sz="4" w:space="0" w:color="auto"/>
              <w:right w:val="single" w:sz="4" w:space="0" w:color="auto"/>
            </w:tcBorders>
            <w:shd w:val="clear" w:color="auto" w:fill="auto"/>
            <w:noWrap/>
            <w:vAlign w:val="center"/>
            <w:hideMark/>
          </w:tcPr>
          <w:p w14:paraId="0E6FDE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0,33</w:t>
            </w:r>
          </w:p>
        </w:tc>
      </w:tr>
    </w:tbl>
    <w:p w14:paraId="6E7565EB" w14:textId="77777777" w:rsidR="007940AD" w:rsidRPr="007940AD" w:rsidRDefault="007940AD">
      <w:pPr>
        <w:rPr>
          <w:rFonts w:ascii="Times New Roman" w:hAnsi="Times New Roman" w:cs="Times New Roman"/>
          <w:sz w:val="28"/>
          <w:szCs w:val="28"/>
        </w:rPr>
      </w:pPr>
    </w:p>
    <w:p w14:paraId="2FF66E9B" w14:textId="209E4647" w:rsidR="007940AD" w:rsidRPr="007940AD" w:rsidRDefault="007940AD" w:rsidP="006075CD">
      <w:pPr>
        <w:jc w:val="both"/>
        <w:rPr>
          <w:rFonts w:ascii="Times New Roman" w:hAnsi="Times New Roman" w:cs="Times New Roman"/>
          <w:sz w:val="28"/>
          <w:szCs w:val="28"/>
        </w:rPr>
      </w:pPr>
      <w:r w:rsidRPr="007940AD">
        <w:rPr>
          <w:rFonts w:ascii="Times New Roman" w:hAnsi="Times New Roman" w:cs="Times New Roman"/>
          <w:sz w:val="28"/>
          <w:szCs w:val="28"/>
        </w:rPr>
        <w:t xml:space="preserve">Вывод по анализу динамики показателей: рентабельность продаж выросла на 1,82% по сравнению с прошлым годом, но она недостаточно высока. Рентабельность коммерческой деятельности выросла на 0,6% и также остаётся значительно низкой. Рентабельность затрат выросла на 35,96%, она высокая за оба года, но в отчетном году онп наиболее положительно влияет на финансовые результаты предприятия. Оборачиваемость товарных запасов выросла на 2 дня (снизилась на 0,8 раз), что является негативным фактором, но незначительно. Производительность труда выросла на 266,09 тыс. руб./чел., что показывает повышение эффективности труда в процессе производства. Коэффициент ритмичности поставок не изменился, поставки ритмичны. Уровень рентабельности заключённой сделки снизился на 2,79%, что </w:t>
      </w:r>
      <w:r w:rsidRPr="007940AD">
        <w:rPr>
          <w:rFonts w:ascii="Times New Roman" w:hAnsi="Times New Roman" w:cs="Times New Roman"/>
          <w:sz w:val="28"/>
          <w:szCs w:val="28"/>
        </w:rPr>
        <w:lastRenderedPageBreak/>
        <w:t>показывает снижение эффективности сделки с затраторентабельностью в целом по организации, сделки невыгодные. Сумма доходов по закупленной партии выросла на 9294240 тыс. руб. Оборот по закупленной партии товаров вырос на 69640800 тыс. руб. Издержки обращения по коммерческой сделке выросли на 13867482,6 тыс. руб. Скорректированный уровень издержек обращения по коммерческой сделке вырос на 0,33%. Предприятие нуждается в привлечении дополнительных денежных средствах с целью повышения рентабельности и финансовой устойчивости. Организаии необходимо уменьшить затраты, чтобы улучшить финансовое положение.</w:t>
      </w:r>
    </w:p>
    <w:sectPr w:rsidR="007940AD" w:rsidRPr="00794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AD"/>
    <w:rsid w:val="006075CD"/>
    <w:rsid w:val="007940AD"/>
    <w:rsid w:val="00F9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7801"/>
  <w15:chartTrackingRefBased/>
  <w15:docId w15:val="{6E8E4C3D-2E94-4D63-905D-49B19D8D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2024-02-10T07:06:00Z</dcterms:created>
  <dcterms:modified xsi:type="dcterms:W3CDTF">2024-02-10T07:37:00Z</dcterms:modified>
</cp:coreProperties>
</file>