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D014C" w14:textId="33A0F079" w:rsidR="00F925AB" w:rsidRPr="001A1CD1" w:rsidRDefault="001A1CD1" w:rsidP="00657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ассортиентом, оценка качества и обеспечения сохранемости товаров</w:t>
      </w:r>
    </w:p>
    <w:p w14:paraId="59D3CDFC" w14:textId="3BCE8EDC" w:rsidR="001A1CD1" w:rsidRDefault="001A1C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B5639" wp14:editId="257E9D8E">
                <wp:simplePos x="0" y="0"/>
                <wp:positionH relativeFrom="column">
                  <wp:posOffset>1453515</wp:posOffset>
                </wp:positionH>
                <wp:positionV relativeFrom="paragraph">
                  <wp:posOffset>1003935</wp:posOffset>
                </wp:positionV>
                <wp:extent cx="0" cy="200025"/>
                <wp:effectExtent l="0" t="0" r="38100" b="28575"/>
                <wp:wrapNone/>
                <wp:docPr id="202403198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D0270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79.05pt" to="114.4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FF76870" wp14:editId="745E09B9">
            <wp:extent cx="5940425" cy="3728085"/>
            <wp:effectExtent l="0" t="0" r="3175" b="5715"/>
            <wp:docPr id="43952840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A81F52AC-B9E3-5CA8-A2A8-DD28CED5CF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8270F32" w14:textId="77777777" w:rsidR="001A1CD1" w:rsidRDefault="001A1CD1" w:rsidP="001A1CD1">
      <w:pPr>
        <w:rPr>
          <w:noProof/>
        </w:rPr>
      </w:pPr>
    </w:p>
    <w:p w14:paraId="55F96331" w14:textId="37FCD41E" w:rsidR="001A1CD1" w:rsidRPr="004372BC" w:rsidRDefault="001A1CD1" w:rsidP="005C15BE">
      <w:pPr>
        <w:jc w:val="both"/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Мероприятия по регулированию ассортимента ручки шариковой: в фазе спада жизненного цикла товара необходимо разработать новые</w:t>
      </w:r>
      <w:r w:rsidR="004372BC" w:rsidRPr="004372BC">
        <w:rPr>
          <w:rFonts w:ascii="Times New Roman" w:hAnsi="Times New Roman" w:cs="Times New Roman"/>
          <w:sz w:val="28"/>
          <w:szCs w:val="28"/>
        </w:rPr>
        <w:t xml:space="preserve"> и интересные ручки, также можно разработать акции и применить скидки к уже существующему товару для стимулирования покупок. Новый товар или акционный товар вызовут интерес к их покупке, следствием чего станет повышение прибыли и стабильность товара на рынке.</w:t>
      </w:r>
    </w:p>
    <w:p w14:paraId="4E7E0578" w14:textId="7F9A2EE1" w:rsidR="004372BC" w:rsidRDefault="004372BC" w:rsidP="005C15BE">
      <w:pPr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Коэффициенты полноты:</w:t>
      </w:r>
      <w:r w:rsidR="005C15BE">
        <w:rPr>
          <w:rFonts w:ascii="Times New Roman" w:hAnsi="Times New Roman" w:cs="Times New Roman"/>
          <w:sz w:val="28"/>
          <w:szCs w:val="28"/>
        </w:rPr>
        <w:t xml:space="preserve"> </w:t>
      </w:r>
      <w:r w:rsidR="005C15BE">
        <w:rPr>
          <w:rFonts w:ascii="Times New Roman" w:hAnsi="Times New Roman" w:cs="Times New Roman"/>
          <w:sz w:val="28"/>
          <w:szCs w:val="28"/>
        </w:rPr>
        <w:tab/>
      </w:r>
      <w:r w:rsidR="005C15BE">
        <w:rPr>
          <w:rFonts w:ascii="Times New Roman" w:hAnsi="Times New Roman" w:cs="Times New Roman"/>
          <w:sz w:val="28"/>
          <w:szCs w:val="28"/>
        </w:rPr>
        <w:t>Коэффициент устойчивости:</w:t>
      </w:r>
    </w:p>
    <w:p w14:paraId="7E3A59CD" w14:textId="4DA7E58E" w:rsidR="004372BC" w:rsidRPr="004372BC" w:rsidRDefault="004372BC" w:rsidP="005C15BE">
      <w:pPr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Кп1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372BC">
        <w:rPr>
          <w:rFonts w:ascii="Times New Roman" w:hAnsi="Times New Roman" w:cs="Times New Roman"/>
          <w:sz w:val="28"/>
          <w:szCs w:val="28"/>
        </w:rPr>
        <w:t>76,2</w:t>
      </w:r>
      <w:r>
        <w:rPr>
          <w:rFonts w:ascii="Times New Roman" w:hAnsi="Times New Roman" w:cs="Times New Roman"/>
          <w:sz w:val="28"/>
          <w:szCs w:val="28"/>
        </w:rPr>
        <w:t>%</w:t>
      </w:r>
      <w:r w:rsidR="005C15BE">
        <w:rPr>
          <w:rFonts w:ascii="Times New Roman" w:hAnsi="Times New Roman" w:cs="Times New Roman"/>
          <w:sz w:val="28"/>
          <w:szCs w:val="28"/>
        </w:rPr>
        <w:tab/>
      </w:r>
      <w:r w:rsidR="005C15BE" w:rsidRPr="004372BC">
        <w:rPr>
          <w:rFonts w:ascii="Times New Roman" w:hAnsi="Times New Roman" w:cs="Times New Roman"/>
          <w:sz w:val="28"/>
          <w:szCs w:val="28"/>
        </w:rPr>
        <w:t>Ку</w:t>
      </w:r>
      <w:r w:rsidR="005C15BE">
        <w:rPr>
          <w:rFonts w:ascii="Times New Roman" w:hAnsi="Times New Roman" w:cs="Times New Roman"/>
          <w:sz w:val="28"/>
          <w:szCs w:val="28"/>
        </w:rPr>
        <w:t xml:space="preserve"> = </w:t>
      </w:r>
      <w:r w:rsidR="005C15BE" w:rsidRPr="004372BC">
        <w:rPr>
          <w:rFonts w:ascii="Times New Roman" w:hAnsi="Times New Roman" w:cs="Times New Roman"/>
          <w:sz w:val="28"/>
          <w:szCs w:val="28"/>
        </w:rPr>
        <w:t>31,4</w:t>
      </w:r>
      <w:r w:rsidR="005C15BE">
        <w:rPr>
          <w:rFonts w:ascii="Times New Roman" w:hAnsi="Times New Roman" w:cs="Times New Roman"/>
          <w:sz w:val="28"/>
          <w:szCs w:val="28"/>
        </w:rPr>
        <w:t>%</w:t>
      </w:r>
    </w:p>
    <w:p w14:paraId="1F940091" w14:textId="428A29A2" w:rsidR="004372BC" w:rsidRPr="004372BC" w:rsidRDefault="004372BC" w:rsidP="004372BC">
      <w:pPr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Кп2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372BC">
        <w:rPr>
          <w:rFonts w:ascii="Times New Roman" w:hAnsi="Times New Roman" w:cs="Times New Roman"/>
          <w:sz w:val="28"/>
          <w:szCs w:val="28"/>
        </w:rPr>
        <w:t>57,1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BE66E28" w14:textId="08E133BA" w:rsidR="004372BC" w:rsidRPr="004372BC" w:rsidRDefault="004372BC" w:rsidP="004372BC">
      <w:pPr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Кп3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372BC">
        <w:rPr>
          <w:rFonts w:ascii="Times New Roman" w:hAnsi="Times New Roman" w:cs="Times New Roman"/>
          <w:sz w:val="28"/>
          <w:szCs w:val="28"/>
        </w:rPr>
        <w:t>81,0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221C9FD8" w14:textId="780F9557" w:rsidR="004372BC" w:rsidRPr="004372BC" w:rsidRDefault="004372BC" w:rsidP="004372BC">
      <w:pPr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Кп4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372BC">
        <w:rPr>
          <w:rFonts w:ascii="Times New Roman" w:hAnsi="Times New Roman" w:cs="Times New Roman"/>
          <w:sz w:val="28"/>
          <w:szCs w:val="28"/>
        </w:rPr>
        <w:t>66,7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2429235" w14:textId="5037644C" w:rsidR="004372BC" w:rsidRDefault="004372BC" w:rsidP="004372BC">
      <w:pPr>
        <w:rPr>
          <w:rFonts w:ascii="Times New Roman" w:hAnsi="Times New Roman" w:cs="Times New Roman"/>
          <w:sz w:val="28"/>
          <w:szCs w:val="28"/>
        </w:rPr>
      </w:pPr>
      <w:r w:rsidRPr="004372BC">
        <w:rPr>
          <w:rFonts w:ascii="Times New Roman" w:hAnsi="Times New Roman" w:cs="Times New Roman"/>
          <w:sz w:val="28"/>
          <w:szCs w:val="28"/>
        </w:rPr>
        <w:t>Кп5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4372BC">
        <w:rPr>
          <w:rFonts w:ascii="Times New Roman" w:hAnsi="Times New Roman" w:cs="Times New Roman"/>
          <w:sz w:val="28"/>
          <w:szCs w:val="28"/>
        </w:rPr>
        <w:t>61,9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46858052" w14:textId="53C93215" w:rsidR="004372BC" w:rsidRPr="004372BC" w:rsidRDefault="004372BC" w:rsidP="005C15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данным полученных коэффициентов полноты можно сделать вывод, что ассортимент неполный.</w:t>
      </w:r>
      <w:r w:rsidR="005C15BE">
        <w:rPr>
          <w:rFonts w:ascii="Times New Roman" w:hAnsi="Times New Roman" w:cs="Times New Roman"/>
          <w:sz w:val="28"/>
          <w:szCs w:val="28"/>
        </w:rPr>
        <w:t xml:space="preserve"> Наименее полный был во вторую проверку (57,1%), наиболее полный в третью проверку (81%). Коэффициент устойчивости равен 31,4%, что говорит о слабой устойчивости ассортимента товара в магазине.</w:t>
      </w:r>
    </w:p>
    <w:sectPr w:rsidR="004372BC" w:rsidRPr="0043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D1"/>
    <w:rsid w:val="001A1CD1"/>
    <w:rsid w:val="004372BC"/>
    <w:rsid w:val="005C15BE"/>
    <w:rsid w:val="00657504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97C0"/>
  <w15:chartTrackingRefBased/>
  <w15:docId w15:val="{E5EF949E-4A96-4744-8CA8-79E35CA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5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Фазы</a:t>
            </a:r>
            <a:r>
              <a:rPr lang="ru-RU" baseline="0"/>
              <a:t> жизненного цикла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124347163713034E-2"/>
          <c:y val="0.12634985522057574"/>
          <c:w val="0.92523969244624749"/>
          <c:h val="0.794623513144147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'Задание 1'!$A$2:$A$13</c:f>
              <c:strCache>
                <c:ptCount val="12"/>
                <c:pt idx="0">
                  <c:v>январь </c:v>
                </c:pt>
                <c:pt idx="1">
                  <c:v>февраль </c:v>
                </c:pt>
                <c:pt idx="2">
                  <c:v>март </c:v>
                </c:pt>
                <c:pt idx="3">
                  <c:v>апрель </c:v>
                </c:pt>
                <c:pt idx="4">
                  <c:v>май </c:v>
                </c:pt>
                <c:pt idx="5">
                  <c:v>июнь </c:v>
                </c:pt>
                <c:pt idx="6">
                  <c:v>июль </c:v>
                </c:pt>
                <c:pt idx="7">
                  <c:v>август </c:v>
                </c:pt>
                <c:pt idx="8">
                  <c:v>сентябрь </c:v>
                </c:pt>
                <c:pt idx="9">
                  <c:v>октябрь </c:v>
                </c:pt>
                <c:pt idx="10">
                  <c:v>ноябрь </c:v>
                </c:pt>
                <c:pt idx="11">
                  <c:v>декабрь </c:v>
                </c:pt>
              </c:strCache>
            </c:strRef>
          </c:cat>
          <c:val>
            <c:numRef>
              <c:f>'Задание 1'!$B$2:$B$13</c:f>
              <c:numCache>
                <c:formatCode>General</c:formatCode>
                <c:ptCount val="12"/>
                <c:pt idx="0">
                  <c:v>52.1</c:v>
                </c:pt>
                <c:pt idx="1">
                  <c:v>53</c:v>
                </c:pt>
                <c:pt idx="2">
                  <c:v>71</c:v>
                </c:pt>
                <c:pt idx="3">
                  <c:v>75</c:v>
                </c:pt>
                <c:pt idx="4">
                  <c:v>77</c:v>
                </c:pt>
                <c:pt idx="5">
                  <c:v>29</c:v>
                </c:pt>
                <c:pt idx="6">
                  <c:v>20.100000000000001</c:v>
                </c:pt>
                <c:pt idx="7">
                  <c:v>17</c:v>
                </c:pt>
                <c:pt idx="8">
                  <c:v>52</c:v>
                </c:pt>
                <c:pt idx="9">
                  <c:v>39</c:v>
                </c:pt>
                <c:pt idx="10">
                  <c:v>20</c:v>
                </c:pt>
                <c:pt idx="11">
                  <c:v>35.1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E2-4C63-8E53-1DF354E49C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675432"/>
        <c:axId val="536676872"/>
      </c:lineChart>
      <c:catAx>
        <c:axId val="536675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676872"/>
        <c:crosses val="autoZero"/>
        <c:auto val="1"/>
        <c:lblAlgn val="ctr"/>
        <c:lblOffset val="100"/>
        <c:noMultiLvlLbl val="0"/>
      </c:catAx>
      <c:valAx>
        <c:axId val="536676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6675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0.16676</cdr:x>
      <cdr:y>0.40112</cdr:y>
    </cdr:from>
    <cdr:to>
      <cdr:x>0.16676</cdr:x>
      <cdr:y>0.48544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990600" y="1495425"/>
          <a:ext cx="0" cy="3143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0.39691</cdr:x>
      <cdr:y>0.20068</cdr:y>
    </cdr:from>
    <cdr:to>
      <cdr:x>0.39691</cdr:x>
      <cdr:y>0.27973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>
          <a:off x="2357791" y="748146"/>
          <a:ext cx="0" cy="29472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0.62843</cdr:x>
      <cdr:y>0.73886</cdr:y>
    </cdr:from>
    <cdr:to>
      <cdr:x>0.62843</cdr:x>
      <cdr:y>0.79156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3733170" y="2754536"/>
          <a:ext cx="0" cy="19648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0.70731</cdr:x>
      <cdr:y>0.42568</cdr:y>
    </cdr:from>
    <cdr:to>
      <cdr:x>0.70731</cdr:x>
      <cdr:y>0.48548</cdr:y>
    </cdr:to>
    <cdr:cxnSp macro="">
      <cdr:nvCxnSpPr>
        <cdr:cNvPr id="11" name="Прямая соединительная линия 10"/>
        <cdr:cNvCxnSpPr/>
      </cdr:nvCxnSpPr>
      <cdr:spPr>
        <a:xfrm xmlns:a="http://schemas.openxmlformats.org/drawingml/2006/main">
          <a:off x="4201705" y="1586976"/>
          <a:ext cx="0" cy="22293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0.86124</cdr:x>
      <cdr:y>0.71352</cdr:y>
    </cdr:from>
    <cdr:to>
      <cdr:x>0.86124</cdr:x>
      <cdr:y>0.77028</cdr:y>
    </cdr:to>
    <cdr:cxnSp macro="">
      <cdr:nvCxnSpPr>
        <cdr:cNvPr id="13" name="Прямая соединительная линия 12"/>
        <cdr:cNvCxnSpPr/>
      </cdr:nvCxnSpPr>
      <cdr:spPr>
        <a:xfrm xmlns:a="http://schemas.openxmlformats.org/drawingml/2006/main">
          <a:off x="5116105" y="2660073"/>
          <a:ext cx="0" cy="211597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0.05354</cdr:x>
      <cdr:y>0.47988</cdr:y>
    </cdr:from>
    <cdr:to>
      <cdr:x>0.20747</cdr:x>
      <cdr:y>0.72516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318052" y="178904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000"/>
            <a:t>Внедрение</a:t>
          </a:r>
        </a:p>
      </cdr:txBody>
    </cdr:sp>
  </cdr:relSizeAnchor>
  <cdr:relSizeAnchor xmlns:cdr="http://schemas.openxmlformats.org/drawingml/2006/chartDrawing">
    <cdr:from>
      <cdr:x>0.14556</cdr:x>
      <cdr:y>0.30159</cdr:y>
    </cdr:from>
    <cdr:to>
      <cdr:x>0.29949</cdr:x>
      <cdr:y>0.54687</cdr:y>
    </cdr:to>
    <cdr:sp macro="" textlink="">
      <cdr:nvSpPr>
        <cdr:cNvPr id="16" name="Надпись 15"/>
        <cdr:cNvSpPr txBox="1"/>
      </cdr:nvSpPr>
      <cdr:spPr>
        <a:xfrm xmlns:a="http://schemas.openxmlformats.org/drawingml/2006/main">
          <a:off x="864704" y="112436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000"/>
            <a:t>Рост</a:t>
          </a:r>
        </a:p>
      </cdr:txBody>
    </cdr:sp>
  </cdr:relSizeAnchor>
  <cdr:relSizeAnchor xmlns:cdr="http://schemas.openxmlformats.org/drawingml/2006/chartDrawing">
    <cdr:from>
      <cdr:x>0.25599</cdr:x>
      <cdr:y>0.19195</cdr:y>
    </cdr:from>
    <cdr:to>
      <cdr:x>0.40992</cdr:x>
      <cdr:y>0.43723</cdr:y>
    </cdr:to>
    <cdr:sp macro="" textlink="">
      <cdr:nvSpPr>
        <cdr:cNvPr id="17" name="Надпись 16"/>
        <cdr:cNvSpPr txBox="1"/>
      </cdr:nvSpPr>
      <cdr:spPr>
        <a:xfrm xmlns:a="http://schemas.openxmlformats.org/drawingml/2006/main">
          <a:off x="1520687" y="715617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000"/>
            <a:t>Зрелость</a:t>
          </a:r>
        </a:p>
      </cdr:txBody>
    </cdr:sp>
  </cdr:relSizeAnchor>
  <cdr:relSizeAnchor xmlns:cdr="http://schemas.openxmlformats.org/drawingml/2006/chartDrawing">
    <cdr:from>
      <cdr:x>0.39653</cdr:x>
      <cdr:y>0.66917</cdr:y>
    </cdr:from>
    <cdr:to>
      <cdr:x>0.55046</cdr:x>
      <cdr:y>0.91444</cdr:y>
    </cdr:to>
    <cdr:sp macro="" textlink="">
      <cdr:nvSpPr>
        <cdr:cNvPr id="18" name="Надпись 17"/>
        <cdr:cNvSpPr txBox="1"/>
      </cdr:nvSpPr>
      <cdr:spPr>
        <a:xfrm xmlns:a="http://schemas.openxmlformats.org/drawingml/2006/main">
          <a:off x="2355574" y="2494722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000"/>
            <a:t>Спад</a:t>
          </a:r>
        </a:p>
      </cdr:txBody>
    </cdr:sp>
  </cdr:relSizeAnchor>
  <cdr:relSizeAnchor xmlns:cdr="http://schemas.openxmlformats.org/drawingml/2006/chartDrawing">
    <cdr:from>
      <cdr:x>0.5789</cdr:x>
      <cdr:y>0.5492</cdr:y>
    </cdr:from>
    <cdr:to>
      <cdr:x>0.73283</cdr:x>
      <cdr:y>0.79447</cdr:y>
    </cdr:to>
    <cdr:sp macro="" textlink="">
      <cdr:nvSpPr>
        <cdr:cNvPr id="19" name="Надпись 18"/>
        <cdr:cNvSpPr txBox="1"/>
      </cdr:nvSpPr>
      <cdr:spPr>
        <a:xfrm xmlns:a="http://schemas.openxmlformats.org/drawingml/2006/main">
          <a:off x="3438939" y="204746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000"/>
            <a:t>Подъем</a:t>
          </a:r>
        </a:p>
      </cdr:txBody>
    </cdr:sp>
  </cdr:relSizeAnchor>
  <cdr:relSizeAnchor xmlns:cdr="http://schemas.openxmlformats.org/drawingml/2006/chartDrawing">
    <cdr:from>
      <cdr:x>0.76815</cdr:x>
      <cdr:y>0.49084</cdr:y>
    </cdr:from>
    <cdr:to>
      <cdr:x>0.92208</cdr:x>
      <cdr:y>0.73612</cdr:y>
    </cdr:to>
    <cdr:sp macro="" textlink="">
      <cdr:nvSpPr>
        <cdr:cNvPr id="20" name="Надпись 1"/>
        <cdr:cNvSpPr txBox="1"/>
      </cdr:nvSpPr>
      <cdr:spPr>
        <a:xfrm xmlns:a="http://schemas.openxmlformats.org/drawingml/2006/main">
          <a:off x="4563165" y="1829904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000"/>
            <a:t>Спад</a:t>
          </a:r>
        </a:p>
      </cdr:txBody>
    </cdr:sp>
  </cdr:relSizeAnchor>
  <cdr:relSizeAnchor xmlns:cdr="http://schemas.openxmlformats.org/drawingml/2006/chartDrawing">
    <cdr:from>
      <cdr:x>0.88007</cdr:x>
      <cdr:y>0.67746</cdr:y>
    </cdr:from>
    <cdr:to>
      <cdr:x>0.98829</cdr:x>
      <cdr:y>0.92274</cdr:y>
    </cdr:to>
    <cdr:sp macro="" textlink="">
      <cdr:nvSpPr>
        <cdr:cNvPr id="21" name="Надпись 1"/>
        <cdr:cNvSpPr txBox="1"/>
      </cdr:nvSpPr>
      <cdr:spPr>
        <a:xfrm xmlns:a="http://schemas.openxmlformats.org/drawingml/2006/main">
          <a:off x="5227983" y="2525643"/>
          <a:ext cx="642868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000"/>
            <a:t>Подъем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2024-02-10T07:11:00Z</dcterms:created>
  <dcterms:modified xsi:type="dcterms:W3CDTF">2024-02-10T07:36:00Z</dcterms:modified>
</cp:coreProperties>
</file>