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文物病历</w:t>
      </w:r>
    </w:p>
    <w:p>
      <w:r>
        <w:rPr>
          <w:b/>
        </w:rPr>
        <w:t>xqw-v0 交付与后续工作</w:t>
      </w:r>
    </w:p>
    <w:p>
      <w:r>
        <w:rPr>
          <w:b w:val="0"/>
        </w:rPr>
        <w:t>对照《方向一_文物病历_比赛构建指南_V1.0》</w:t>
      </w:r>
    </w:p>
    <w:p>
      <w:r>
        <w:rPr>
          <w:b w:val="0"/>
        </w:rPr>
        <w:t>核查日期：2026年10月28日（Asia/Shanghai）</w:t>
      </w:r>
    </w:p>
    <w:p>
      <w:r>
        <w:rPr>
          <w:b w:val="0"/>
        </w:rPr>
        <w:t>工程范围：ArtifactHealthRecord；保留完整业务与AI工程。</w:t>
      </w:r>
    </w:p>
    <w:p>
      <w:r>
        <w:rPr>
          <w:b/>
        </w:rPr>
        <w:t>目前最需要补的，是同一目标地域的真实病害证据和专业验证。工程可以登记、辅助标注、编方案、会诊和归档，但公开馆藏照片不能代替专家标注，完整代码不能代替真实试点。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E8F0EE"/>
          </w:tcPr>
          <w:p>
            <w:r>
              <w:rPr>
                <w:b/>
              </w:rPr>
              <w:t>这次交付</w:t>
            </w:r>
          </w:p>
        </w:tc>
        <w:tc>
          <w:tcPr>
            <w:tcW w:type="dxa" w:w="4932"/>
            <w:shd w:fill="E8F0EE"/>
          </w:tcPr>
          <w:p>
            <w:r>
              <w:rPr>
                <w:b/>
              </w:rPr>
              <w:t>仍缺的关键实物/证据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完整前后端、病历—病例—方案—规则—会诊—档案闭环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目标地域30–50张局部图及配套采集记录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27张馆方开放照片、18件对象、原件和许可元数据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六类专家标注；完整授权修复病例20份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来源复核、SAM交互、标准图符执行、数据与发布验证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真实训练/独立评测、图符专业验收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本地工程测试与可复现证据，GitHub指定分支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华为云/CodeArts真实记录、机构试点、比赛材料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阅读顺序：先看第1–3部分了解图片到底是什么，再按第4部分领取任务；第5–7部分给出验收口径、工程验证与复现入口。</w:t>
      </w:r>
    </w:p>
    <w:p>
      <w:hyperlink r:id="rId11">
        <w:r>
          <w:rPr>
            <w:color w:val="167175"/>
          </w:rPr>
          <w:t>代码分支  https://github.com/Xlovlhj/ArtifactHealthRecord/tree/xqw-v0</w:t>
        </w:r>
      </w:hyperlink>
    </w:p>
    <w:p>
      <w:r>
        <w:rPr>
          <w:b w:val="0"/>
        </w:rPr>
        <w:t>数量来自公开数据manifest，测试来自本轮validation；未取得的指标不写成已完成。</w:t>
      </w:r>
    </w:p>
    <w:p>
      <w:r>
        <w:br w:type="page"/>
      </w:r>
    </w:p>
    <w:p>
      <w:pPr>
        <w:pStyle w:val="Heading1"/>
      </w:pPr>
      <w:r>
        <w:t>1. 现在的图片是什么，能拿它做什么</w:t>
      </w:r>
    </w:p>
    <w:p>
      <w:r>
        <w:rPr>
          <w:b w:val="0"/>
        </w:rPr>
        <w:t>公开包实际有27张照片，对应18件馆藏对象。其中彩色正面14张，黑白正面5张，背面/装裱结构8张。同一物件的不同视图不是新的独立壁画。一张线描说明图已人工排除。</w:t>
      </w:r>
    </w:p>
    <w:p>
      <w:r>
        <w:rPr>
          <w:b w:val="0"/>
        </w:rPr>
        <w:t>这些是博物馆公开的真实中国壁画照片，包含山西、新疆等。它们能够让工作台使用真实文物图像完成查看、来源登记、标注和检索演练；不能据此说已收集了甘肃单地域现场病害数据。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989"/>
      </w:tblGrid>
      <w:tr>
        <w:trPr>
          <w:tblHeader/>
        </w:trPr>
        <w:tc>
          <w:tcPr>
            <w:tcW w:type="dxa" w:w="1814"/>
            <w:shd w:fill="E8F0EE"/>
          </w:tcPr>
          <w:p>
            <w:r>
              <w:rPr>
                <w:b/>
              </w:rPr>
              <w:t>资产</w:t>
            </w:r>
          </w:p>
        </w:tc>
        <w:tc>
          <w:tcPr>
            <w:tcW w:type="dxa" w:w="3061"/>
            <w:shd w:fill="E8F0EE"/>
          </w:tcPr>
          <w:p>
            <w:r>
              <w:rPr>
                <w:b/>
              </w:rPr>
              <w:t>数量/状态</w:t>
            </w:r>
          </w:p>
        </w:tc>
        <w:tc>
          <w:tcPr>
            <w:tcW w:type="dxa" w:w="4989"/>
            <w:shd w:fill="E8F0EE"/>
          </w:tcPr>
          <w:p>
            <w:r>
              <w:rPr>
                <w:b/>
              </w:rPr>
              <w:t>现在能用在哪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官方开放馆藏照片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27张 / 18件；随仓库提供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真实图像展示、标注操作、通用模型工程检查；不作六类监督真值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已有敦煌研究GT裁片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本机60张；公开仓库不分发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镜像许可声明不足以替代完整权利链；同源裁片保守同组，不能随机分训练测试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MuralDH完整数据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0份；保存了元数据及下载失败记录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正常取得授权下载后再核尺寸/哈希、类别映射和原址分组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程序绘制教学样板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3份，继续保留且标合成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软件回归、流程演示、合成训练管线检查；不是实拍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六类病害专家真值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0张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必须真实采集、双人标注、第三人仲裁后建立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完整授权修复病例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0份；现有4条甘肃公开摘要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摘要可查资料，不能凑成项目书要求的20份完整病例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公开包逐图保存对象编号、馆方链接、JPEG原件、尺寸、SHA-256、视图类型、材料/年代原字段、许可证据和分组依据。18份官方对象API元数据可回查isPublicDomain字段。代码MIT许可证不扩大外部数据授权。</w:t>
      </w:r>
    </w:p>
    <w:p>
      <w:hyperlink r:id="rId12">
        <w:r>
          <w:rPr>
            <w:color w:val="167175"/>
          </w:rPr>
          <w:t>公开数据清单  https://github.com/Xlovlhj/ArtifactHealthRecord/blob/xqw-v0/data/public/mural_reference/manifest.json</w:t>
        </w:r>
      </w:hyperlink>
    </w:p>
    <w:p>
      <w:hyperlink r:id="rId13">
        <w:r>
          <w:rPr>
            <w:color w:val="167175"/>
          </w:rPr>
          <w:t>The Met开放政策  https://www.metmuseum.org/hubs/open-access</w:t>
        </w:r>
      </w:hyperlink>
    </w:p>
    <w:p>
      <w:hyperlink r:id="rId14">
        <w:r>
          <w:rPr>
            <w:color w:val="167175"/>
          </w:rPr>
          <w:t>MuralDH数据发布页  https://datadryad.org/dataset/doi:10.5061/dryad.bnzs7h4jd</w:t>
        </w:r>
      </w:hyperlink>
    </w:p>
    <w:p>
      <w:r>
        <w:br w:type="page"/>
      </w:r>
    </w:p>
    <w:p>
      <w:pPr>
        <w:pStyle w:val="Heading1"/>
      </w:pPr>
      <w:r>
        <w:t>2. 真实照片样例与可追溯出处</w:t>
      </w:r>
    </w:p>
    <w:p>
      <w:r>
        <w:rPr>
          <w:b w:val="0"/>
        </w:rPr>
        <w:t>以下直接使用交付包中的馆方照片；没有绘制病害标签，也没有生成“修复后”画面。图片只是资料样例，是否存在某类病害仍待专业判断。</w:t>
      </w:r>
    </w:p>
    <w:p>
      <w:pPr>
        <w:pStyle w:val="Heading2"/>
      </w:pPr>
      <w:r>
        <w:t>持莲僧人壁画残片</w:t>
      </w:r>
    </w:p>
    <w:p>
      <w:r>
        <w:drawing>
          <wp:inline xmlns:a="http://schemas.openxmlformats.org/drawingml/2006/main" xmlns:pic="http://schemas.openxmlformats.org/drawingml/2006/picture">
            <wp:extent cx="1053701" cy="210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-44794-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3701" cy="210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对象：met-44794；图像：met-44794-01；地区：新疆维吾尔自治区；尺寸：1968×3928；许可：CC0-1.0。</w:t>
      </w:r>
    </w:p>
    <w:p>
      <w:r>
        <w:rPr>
          <w:b w:val="0"/>
        </w:rPr>
        <w:t>来源：https://www.metmuseum.org/art/collection/search/44794</w:t>
      </w:r>
    </w:p>
    <w:p>
      <w:r>
        <w:rPr>
          <w:b w:val="0"/>
        </w:rPr>
        <w:t>原件SHA-256：0f7e0b9191677f36c05ec5a968a676dcb5b32924e6fa229015084b2260c51f4d</w:t>
      </w:r>
    </w:p>
    <w:p>
      <w:pPr>
        <w:pStyle w:val="Heading2"/>
      </w:pPr>
      <w:r>
        <w:t>三位天人壁画残片</w:t>
      </w:r>
    </w:p>
    <w:p>
      <w:r>
        <w:drawing>
          <wp:inline xmlns:a="http://schemas.openxmlformats.org/drawingml/2006/main" xmlns:pic="http://schemas.openxmlformats.org/drawingml/2006/picture">
            <wp:extent cx="280416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-49571-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对象：met-49571；图像：met-49571-01；地区：新疆维吾尔自治区；尺寸：4000×3000；许可：CC0-1.0。</w:t>
      </w:r>
    </w:p>
    <w:p>
      <w:r>
        <w:rPr>
          <w:b w:val="0"/>
        </w:rPr>
        <w:t>来源：https://www.metmuseum.org/art/collection/search/49571</w:t>
      </w:r>
    </w:p>
    <w:p>
      <w:r>
        <w:rPr>
          <w:b w:val="0"/>
        </w:rPr>
        <w:t>原件SHA-256：295258e5db481f3fa4817f96d81375dfe62aeaa68d18161bbd2213f3d713fa36</w:t>
      </w:r>
    </w:p>
    <w:p>
      <w:r>
        <w:br w:type="page"/>
      </w:r>
    </w:p>
    <w:p>
      <w:pPr>
        <w:pStyle w:val="Heading1"/>
      </w:pPr>
      <w:r>
        <w:t>3. 本次改了什么，原来的工程保留了什么</w:t>
      </w:r>
    </w:p>
    <w:p>
      <w:r>
        <w:rPr>
          <w:b w:val="0"/>
        </w:rPr>
        <w:t>原项目已经有大量业务和AI代码，但存在来源登记不足、说明文档过期、图符数据没有接到渲染、SAM缺业务入口等问题。这次按实际调用链补齐，没有删成简单档案管理页。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989"/>
      </w:tblGrid>
      <w:tr>
        <w:trPr>
          <w:tblHeader/>
        </w:trPr>
        <w:tc>
          <w:tcPr>
            <w:tcW w:type="dxa" w:w="1814"/>
            <w:shd w:fill="E8F0EE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3061"/>
            <w:shd w:fill="E8F0EE"/>
          </w:tcPr>
          <w:p>
            <w:r>
              <w:rPr>
                <w:b/>
              </w:rPr>
              <w:t>本次工作</w:t>
            </w:r>
          </w:p>
        </w:tc>
        <w:tc>
          <w:tcPr>
            <w:tcW w:type="dxa" w:w="4989"/>
            <w:shd w:fill="E8F0EE"/>
          </w:tcPr>
          <w:p>
            <w:r>
              <w:rPr>
                <w:b/>
              </w:rPr>
              <w:t>原有完整能力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真实数据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收集官方开放照片、核图、保存原件/元数据、独立参考图库、显式导入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保留原有研究数据清单、下载器与教学测试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影像来源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逐图来源/许可/用途/分组、录入人与复核人分离、来源变化撤销复核、真实/合成计数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保留原始字节、方向规范化显示图、标尺与面积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图符和标注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接入六类图符参数；裂隙中心线独立录入；SAM点选、候选预览和人工采用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保留多边形编辑、六类标注、SVG/PDF、模型候选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病例与证据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编辑保留附件，补独立复核；公开摘要/参考图与完整病例分开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保留BM25、可选embedding、DINOv2/CLIP检索与证据快照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训练与数据质控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NPZ原始多类标注纳入哈希校验；采集模板、公开包完整性检查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保留U-Net/ResNet34/SegFormer、二分类/六类、迁移、冻结、五折与失败样本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环境与交付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安装完整固定AI依赖；离线verify；公开包过滤；Word与实际验收记录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保留RDS/Redis/OBS/MaaS适配、容器配置、Python启动入口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核心工作流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逐项回归与界面引导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13节方案、材料试验、预算、规则、独立会诊、敏感导出、10类档案、审计与迁移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没有更换原有病害算法或改写损失权重。SAM仅沿用既有本地通用模型提边界；图符遵循已登记的参数包；新增发布与数据检查不替代专家决策。</w:t>
      </w:r>
    </w:p>
    <w:p>
      <w:r>
        <w:rPr>
          <w:b w:val="0"/>
        </w:rPr>
        <w:t>图符资料核验、程序绘制、专家成图验收是三件事。当前保留rendering_certified=false；缺失裂隙中心线时明确提示，不随意猜出一条中心线。</w:t>
      </w:r>
    </w:p>
    <w:p>
      <w:r>
        <w:br w:type="page"/>
      </w:r>
    </w:p>
    <w:p>
      <w:pPr>
        <w:pStyle w:val="Heading1"/>
      </w:pPr>
      <w:r>
        <w:t>4. 按先后顺序还要完成的工作</w:t>
      </w:r>
    </w:p>
    <w:p>
      <w:r>
        <w:rPr>
          <w:b w:val="0"/>
        </w:rPr>
        <w:t>下表的“完成”都要求能拿出文件、原始记录或可复现结果。责任写角色，具体姓名由团队分工确定；没有假填合作单位或专家。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5329"/>
      </w:tblGrid>
      <w:tr>
        <w:trPr>
          <w:tblHeader/>
        </w:trPr>
        <w:tc>
          <w:tcPr>
            <w:tcW w:type="dxa" w:w="1134"/>
            <w:shd w:fill="E8F0EE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1701"/>
            <w:shd w:fill="E8F0EE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1701"/>
            <w:shd w:fill="E8F0EE"/>
          </w:tcPr>
          <w:p>
            <w:r>
              <w:rPr>
                <w:b/>
              </w:rPr>
              <w:t>责任角色</w:t>
            </w:r>
          </w:p>
        </w:tc>
        <w:tc>
          <w:tcPr>
            <w:tcW w:type="dxa" w:w="5329"/>
            <w:shd w:fill="E8F0EE"/>
          </w:tcPr>
          <w:p>
            <w:r>
              <w:rPr>
                <w:b/>
              </w:rPr>
              <w:t>明确完成标准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先做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目标地域与合作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负责人+文保单位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落实1家能供真实资料的单位、1位能审核的专家；最终扩展3家试点。取得用途/公开范围/保密说明，确定甘肃具体场景。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同步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现场影像与采集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采集负责人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30–50张真实局部图起步；保留原始文件、对象/位置对应、时间、设备、照明、标尺/色卡、多角度和质量记录。至少覆盖六类，不用跨地域馆藏图凑数。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影像后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六类标注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2名标注者+仲裁专家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起甲、酥碱、空鼓、裂隙、颜料层脱落、地仗脱落。初赛每类≥20实例，六类合计≥120；后续按指南质控目标每类100。保留人员、日期、版本、争议和一致性。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专项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现场病害证据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文保专家+检测人员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空鼓需要现场调查/检测；酥碱需要相应盐分/材料等证据。将检测报告与区域关联，未知不标成已确诊。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数据后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独立划分与模型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CV负责人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按原壁画/遗址先分组再切片，隔离训练验证测试；同组多视图不能跨集合。对比U-Net/SegFormer，记录数据/权重SHA、每类指标和失败案例。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并行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完整病例20份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资料负责人+专家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每例含对象、病害依据、环境/材料、处理、材料试验、结果/随访、失败与限制、来源和授权。录入并由另一账号复核；新闻摘要不是完整病例。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图件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标准成图验收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制图人员+文保专家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对六类符号、纸面线宽/间距、图例、裂隙中心线、尺度与面积逐项检查；保存标准版本、检查表、意见和返工记录。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P0 / 比赛链路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CodeArts与华为云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后端/云负责人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真实使用CodeArts并留任务/构建/修复证据；接入RDS、Redis、OBS、MaaS，验证上传、缓存、生成、权限、备份和恢复；部署HTTPS Demo。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P1 / 闭环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模拟与前后对比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CV+文保专家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取得适用LaMa/SD权重授权并实测，保留水印/不确定区域；收集同条件术前术后照片，不能把像素变化当修复成功。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P1 / 实地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3家试点与用户研究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负责人+试点联系人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以3家、10位修复师、30件文物为项目书目标，采集真实人工/系统计时、返工和SUS原始问卷，保留参与/数据授权。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P1 / 有数据后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E1–E6完整评估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评测负责人+独立专家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按第5部分执行对照/盲评、真实采样、置信区间和失败分析。没有数据不填成绩。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sz w:val="18"/>
              </w:rPr>
              <w:t>P1 / 提交前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比赛材料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sz w:val="18"/>
              </w:rPr>
              <w:t>队长+材料负责人</w:t>
            </w:r>
          </w:p>
        </w:tc>
        <w:tc>
          <w:tcPr>
            <w:tcW w:type="dxa" w:w="5329"/>
            <w:vAlign w:val="center"/>
          </w:tcPr>
          <w:p>
            <w:pPr>
              <w:spacing w:after="60"/>
            </w:pPr>
            <w:r>
              <w:rPr>
                <w:sz w:val="18"/>
              </w:rPr>
              <w:t>当届官方模板1、PPT、3分钟视频、公开Demo与开源截图、人员分工、合作证明和三次彩排。按校内/官方通知复核截止日期。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建议执行次序：先确定数据与专家，再完成采集和病例；标注与云链路可并行；真实训练和盲评依赖数据完成。仅继续美化界面无法补掉当前主要差距。</w:t>
      </w:r>
    </w:p>
    <w:p>
      <w:r>
        <w:br w:type="page"/>
      </w:r>
    </w:p>
    <w:p>
      <w:pPr>
        <w:pStyle w:val="Heading1"/>
      </w:pPr>
      <w:r>
        <w:t>5. 怎么证明做完：实验与验收证据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989"/>
      </w:tblGrid>
      <w:tr>
        <w:trPr>
          <w:tblHeader/>
        </w:trPr>
        <w:tc>
          <w:tcPr>
            <w:tcW w:type="dxa" w:w="1814"/>
            <w:shd w:fill="E8F0EE"/>
          </w:tcPr>
          <w:p>
            <w:r>
              <w:rPr>
                <w:b/>
              </w:rPr>
              <w:t>实验</w:t>
            </w:r>
          </w:p>
        </w:tc>
        <w:tc>
          <w:tcPr>
            <w:tcW w:type="dxa" w:w="3061"/>
            <w:shd w:fill="E8F0EE"/>
          </w:tcPr>
          <w:p>
            <w:r>
              <w:rPr>
                <w:b/>
              </w:rPr>
              <w:t>按项目书准备什么</w:t>
            </w:r>
          </w:p>
        </w:tc>
        <w:tc>
          <w:tcPr>
            <w:tcW w:type="dxa" w:w="4989"/>
            <w:shd w:fill="E8F0EE"/>
          </w:tcPr>
          <w:p>
            <w:r>
              <w:rPr>
                <w:b/>
              </w:rPr>
              <w:t>输出与不可混淆的边界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E1 分割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30–50件/100–200图目标、五折按原壁画或遗址分组；U-Net/SegFormer等基线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每类Dice/IoU/Precision/Recall、宏平均±标准差、混淆矩阵、最差20样本；SAM通用推理成功不算六类Dice。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E2 病害图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30份图、3位专家；人工/模板/系统对照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按固定检查表报合规率、返工数；图符JSON的verified不等于专家合规率。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E3 字段抽取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30份真实病历；人工/VLM/VLM+Schema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逐字段金标准、准确率、完整率；未知值不当正确负例，结构合法不等于事实准确。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E4 病例检索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50条查询；CLIP/DINOv2/过滤对照，专家相关性标注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Hit@5、Precision@5、MRR和相关性；视觉相似度不是临床相似概率。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E5 方案质量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10病例×3方法；3专家盲评LLM/RAG/RAG+规则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完整性、依据、风险、可执行性1–5分；引文逐句核支持关系、采纳率、失败原因。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</w:pPr>
            <w:r>
              <w:rPr>
                <w:sz w:val="18"/>
              </w:rPr>
              <w:t>E6 端到端</w:t>
            </w:r>
          </w:p>
        </w:tc>
        <w:tc>
          <w:tcPr>
            <w:tcW w:type="dxa" w:w="3061"/>
            <w:vAlign w:val="center"/>
          </w:tcPr>
          <w:p>
            <w:pPr>
              <w:spacing w:after="60"/>
            </w:pPr>
            <w:r>
              <w:rPr>
                <w:sz w:val="18"/>
              </w:rPr>
              <w:t>3家、10位修复师、30件；人工/系统配对</w:t>
            </w:r>
          </w:p>
        </w:tc>
        <w:tc>
          <w:tcPr>
            <w:tcW w:type="dxa" w:w="4989"/>
            <w:vAlign w:val="center"/>
          </w:tcPr>
          <w:p>
            <w:pPr>
              <w:spacing w:after="60"/>
            </w:pPr>
            <w:r>
              <w:rPr>
                <w:sz w:val="18"/>
              </w:rPr>
              <w:t>单件实际计时、返工、SUS十题原始答卷；不能把项目书“4小时→30分钟”当实测。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每个实验保留采样规则、原始数据、人员/盲法、版本、运行命令、分母、排除比例、全部结果与失败样本。没有相关类别或没有真值时指标为null，不记满分。</w:t>
      </w:r>
    </w:p>
    <w:p>
      <w:r>
        <w:rPr>
          <w:b w:val="0"/>
        </w:rPr>
        <w:t>初赛门槛例子Dice≥0.65、后续宏平均≥0.75、SUS≥68均来自项目书的验收目标，当前没有这些成绩。是否可用于具体文物，还须专家结合漏检、误检和适用范围判断。</w:t>
      </w:r>
    </w:p>
    <w:p>
      <w:pPr>
        <w:pStyle w:val="Heading2"/>
      </w:pPr>
      <w:r>
        <w:t>可直接用的采集与评测入口</w:t>
      </w:r>
    </w:p>
    <w:p>
      <w:pPr>
        <w:pStyle w:val="ListBullet"/>
      </w:pPr>
      <w:r>
        <w:t>data/templates/：真实采集、标注审核等登记模板；字段留空表示尚未取得，不会自动生成专家意见。</w:t>
      </w:r>
    </w:p>
    <w:p>
      <w:pPr>
        <w:pStyle w:val="ListBullet"/>
      </w:pPr>
      <w:r>
        <w:t>scripts/prepare_dataset.py：LabelMe→掩膜，来源分组、原图/标注哈希；scripts/train.py、scripts/evaluate.py：正式训练和E1。</w:t>
      </w:r>
    </w:p>
    <w:p>
      <w:pPr>
        <w:pStyle w:val="ListBullet"/>
      </w:pPr>
      <w:r>
        <w:t>scripts/evaluate_study.py --init E2 --output runtime/studies/E2.json：生成空采集表；E3至E6同理。录入真实观察后用--input统计。</w:t>
      </w:r>
    </w:p>
    <w:p>
      <w:pPr>
        <w:pStyle w:val="ListBullet"/>
      </w:pPr>
      <w:r>
        <w:t>标准图件、来源复核、会诊意见与正式验收需要各自留痕；同一账号不能替代独立专家复核。</w:t>
      </w:r>
    </w:p>
    <w:p>
      <w:r>
        <w:br w:type="page"/>
      </w:r>
    </w:p>
    <w:p>
      <w:pPr>
        <w:pStyle w:val="Heading1"/>
      </w:pPr>
      <w:r>
        <w:t>6. 本轮验证到了哪一步</w:t>
      </w:r>
    </w:p>
    <w:p>
      <w:r>
        <w:rPr>
          <w:b w:val="0"/>
        </w:rPr>
        <w:t>工程验证回答“这条代码与操作能否正确执行”，专业实验回答“它对真实文物是否有用”。以下只报告已经留有记录的工程与通用模型验证。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E8F0EE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4932"/>
            <w:shd w:fill="E8F0EE"/>
          </w:tcPr>
          <w:p>
            <w:r>
              <w:rPr>
                <w:b/>
              </w:rPr>
              <w:t>实际结果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Python回归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本机145项通过；干净发布副本143项通过、2项真实权重测试跳过；失败0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前端构建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TypeScript + Vite生产构建通过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浏览器完整工作流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26项通过；页面错误0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公开数据与干净副本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27张照片/18件对象：原图SHA、馆方元数据SHA、许可、下载URL与清单一致；干净副本验证通过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实际模型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真实照片上SAM返回3候选、DINOv2返回Top5；ResNet34编码器与官方权重一致、七通道前向通过；未产生六类Dice；另已通过真实SAM鉴权异步API端到端验证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验证范围包括来源复核和撤销、跨机构隔离、版本冲突、SAM候选绑定原图哈希、无权重返回、图符导出、真实图库导入、方案/会诊、敏感导出和原始档案。浏览器里的候选UI夹具只用于测试交互，真实模型执行另有证据。</w:t>
      </w:r>
    </w:p>
    <w:p>
      <w:r>
        <w:rPr>
          <w:b w:val="0"/>
        </w:rPr>
        <w:t>当前真实六类Dice、真实病例检索相关性、方案采纳率、SUS均无结果；云服务适配器的离线测试不等于实际华为云连通。Docker/新机器安装、PostgreSQL并发与正式备份恢复仍需目标环境验收。</w:t>
      </w:r>
    </w:p>
    <w:p>
      <w:pPr>
        <w:pStyle w:val="Heading2"/>
      </w:pPr>
      <w:r>
        <w:t>工程执行记录</w:t>
      </w:r>
    </w:p>
    <w:p>
      <w:r>
        <w:rPr>
          <w:b w:val="0"/>
        </w:rPr>
        <w:t>docs/xqw-v0-validation.json</w:t>
      </w:r>
    </w:p>
    <w:p>
      <w:r>
        <w:rPr>
          <w:b w:val="0"/>
        </w:rPr>
        <w:t>docs/frontend-validation.json</w:t>
      </w:r>
    </w:p>
    <w:p>
      <w:r>
        <w:rPr>
          <w:b w:val="0"/>
        </w:rPr>
        <w:t>ai/REAL_ASSET_VALIDATION.json</w:t>
      </w:r>
    </w:p>
    <w:p>
      <w:r>
        <w:rPr>
          <w:b w:val="0"/>
        </w:rPr>
        <w:t>docs/guide-implementation-matrix.md</w:t>
      </w:r>
    </w:p>
    <w:p>
      <w:r>
        <w:rPr>
          <w:b w:val="0"/>
        </w:rPr>
        <w:t>早期validation文件为历史记录，能力与数量以本次xqw-v0记录为准。不能沿用早期README的旧数字或“功能尚无”等过时说明。</w:t>
      </w:r>
    </w:p>
    <w:p>
      <w:r>
        <w:br w:type="page"/>
      </w:r>
    </w:p>
    <w:p>
      <w:pPr>
        <w:pStyle w:val="Heading1"/>
      </w:pPr>
      <w:r>
        <w:t>7. 接手运行与下一次交付</w:t>
      </w:r>
    </w:p>
    <w:p>
      <w:r>
        <w:rPr>
          <w:b w:val="0"/>
        </w:rPr>
        <w:t>本机启动：python3 /home/xqw/xqw-file/HRF/ArtifactHealthRecord/run.py</w:t>
      </w:r>
    </w:p>
    <w:p>
      <w:r>
        <w:rPr>
          <w:b w:val="0"/>
        </w:rPr>
        <w:t>新机器：安装Miniconda，进入项目目录，执行：</w:t>
      </w:r>
    </w:p>
    <w:p>
      <w:r>
        <w:rPr>
          <w:b/>
        </w:rPr>
        <w:t>python3 run.py setup --with-ai</w:t>
      </w:r>
    </w:p>
    <w:p>
      <w:r>
        <w:rPr>
          <w:b/>
        </w:rPr>
        <w:t>python3 run.py verify</w:t>
      </w:r>
    </w:p>
    <w:p>
      <w:r>
        <w:rPr>
          <w:b/>
        </w:rPr>
        <w:t>python3 run.py</w:t>
      </w:r>
    </w:p>
    <w:p>
      <w:r>
        <w:rPr>
          <w:b w:val="0"/>
        </w:rPr>
        <w:t>浏览器打开 http://127.0.0.1:8765。演示账号restorer/expert等，密码ahr-demo-2026；正式使用独立数据库、强密码和生产配置。所有启动逻辑用Python，没有.sh启动脚本。</w:t>
      </w:r>
    </w:p>
    <w:p>
      <w:r>
        <w:rPr>
          <w:b w:val="0"/>
        </w:rPr>
        <w:t>公开参考图库已包含图片原件，不依赖打开页面时外网下载。通用权重不随Git上传，可用python3 run.py script fetch_models.py --models dinov2 sam resnet34显式下载并校验。真实六类权重必须另行训练。</w:t>
      </w:r>
    </w:p>
    <w:p>
      <w:r>
        <w:rPr>
          <w:b w:val="0"/>
        </w:rPr>
        <w:t>下一次交付至少要增加：真实采集包与授权、六类专家标注/仲裁、20份完整病例、首次独立分割评估、图件专家核查、实际云链路与CodeArts证据。届时重新生成数据清单和本报告，不能只改README里的完成状态。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E8F0EE"/>
          </w:tcPr>
          <w:p>
            <w:r>
              <w:rPr>
                <w:b/>
              </w:rPr>
              <w:t>应保存的文件</w:t>
            </w:r>
          </w:p>
        </w:tc>
        <w:tc>
          <w:tcPr>
            <w:tcW w:type="dxa" w:w="4932"/>
            <w:shd w:fill="E8F0EE"/>
          </w:tcPr>
          <w:p>
            <w:r>
              <w:rPr>
                <w:b/>
              </w:rPr>
              <w:t>为什么需要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原图+逐图来源/授权/分组+色卡/标尺/检测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能确认图片身份、用途与测量依据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双人LabelMe、仲裁记录、掩膜清单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能解释病害标签如何得出、有没有跨组泄漏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病例证据、处理与随访、专家复核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能支持方案推理，不靠文字摘要凑数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数据/模型哈希、命令、每折结果和失败样本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能由第三方复现真实效果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云部署/CodeArts/备份恢复/访问日志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证明比赛技术底座真实使用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计时/SUS/盲评原始表、单位与专家证明</w:t>
            </w:r>
          </w:p>
        </w:tc>
        <w:tc>
          <w:tcPr>
            <w:tcW w:type="dxa" w:w="4932"/>
            <w:vAlign w:val="center"/>
          </w:tcPr>
          <w:p>
            <w:pPr>
              <w:spacing w:after="60"/>
            </w:pPr>
            <w:r>
              <w:rPr>
                <w:sz w:val="18"/>
              </w:rPr>
              <w:t>证明有人试用以及收益是否成立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资料来源与使用说明</w:t>
      </w:r>
    </w:p>
    <w:p>
      <w:r>
        <w:rPr>
          <w:b w:val="0"/>
        </w:rPr>
        <w:t>主要需求依据：用户提供的Plan/方向一_文物病历_比赛构建指南_V1.0.pdf；本报告只在项目内保存逐项对照，不重新分发项目书全文。</w:t>
      </w:r>
    </w:p>
    <w:p>
      <w:r>
        <w:rPr>
          <w:b w:val="0"/>
        </w:rPr>
        <w:t>标准依据与来源页登记见data/knowledge/manifest.json、symbol_package_gbt30237_2025.json及docs/standards-verification.md。报告不将项目内部复核解释为行政审批或正式资质。</w:t>
      </w:r>
    </w:p>
    <w:p>
      <w:r>
        <w:rPr>
          <w:b w:val="0"/>
        </w:rPr>
        <w:t>照片来自The Met官方对象记录与开放政策；遵从CC0授权并保留出处。第三方模型、代码与研究数据分别遵循上游条件，见THIRD_PARTY_NOTICES.md。</w:t>
      </w:r>
    </w:p>
    <w:p>
      <w:hyperlink r:id="rId11">
        <w:r>
          <w:rPr>
            <w:color w:val="167175"/>
          </w:rPr>
          <w:t>公开交付分支  https://github.com/Xlovlhj/ArtifactHealthRecord/tree/xqw-v0</w:t>
        </w:r>
      </w:hyperlink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ArtifactHealthRecord · xqw-v0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文物病历  /  项目书对照与后续实施清单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74C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74C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274C4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libri" w:hAnsi="Calibri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100" w:line="240" w:lineRule="auto"/>
    </w:pPr>
    <w:rPr>
      <w:rFonts w:ascii="Calibri" w:hAnsi="Calibri" w:eastAsia="Noto Sans CJK SC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github.com/Xlovlhj/ArtifactHealthRecord/tree/xqw-v0" TargetMode="External"/><Relationship Id="rId12" Type="http://schemas.openxmlformats.org/officeDocument/2006/relationships/hyperlink" Target="https://github.com/Xlovlhj/ArtifactHealthRecord/blob/xqw-v0/data/public/mural_reference/manifest.json" TargetMode="External"/><Relationship Id="rId13" Type="http://schemas.openxmlformats.org/officeDocument/2006/relationships/hyperlink" Target="https://www.metmuseum.org/hubs/open-access" TargetMode="External"/><Relationship Id="rId14" Type="http://schemas.openxmlformats.org/officeDocument/2006/relationships/hyperlink" Target="https://datadryad.org/dataset/doi:10.5061/dryad.bnzs7h4jd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