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AI工具使用详情</w:t>
      </w:r>
    </w:p>
    <w:p>
      <w:r>
        <w:t>工作稿，不可直接作为完整披露提交。 此前队员确认独立工作、人工修改和核验尚未开展；本轮用户计划自行完成，未提供新增已完成记录。下文如实记录已有AI工作；【待补充】只在相应工作实际发生后填写。随题AI规则为2025年试行版，格式规范另提及2026年规定，未取得后者全文；提交前需核对当年官网要求。</w:t>
      </w:r>
    </w:p>
    <w:p>
      <w:r>
        <w:t>最新用户确认： “队伍号先留白，人工核验尚未完成。”本次按此状态完成技术稿定稿、格式核查和支撑整理；自动运行与AI检查不记作人工核验，队伍号不写入匿名详情。</w:t>
      </w:r>
    </w:p>
    <w:p>
      <w:pPr>
        <w:pStyle w:val="Heading2"/>
      </w:pPr>
      <w:r>
        <w:t>材料完整性检查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t>项目</w:t>
            </w:r>
          </w:p>
        </w:tc>
        <w:tc>
          <w:tcPr>
            <w:tcW w:type="dxa" w:w="3289"/>
          </w:tcPr>
          <w:p>
            <w:r>
              <w:t>已有证据</w:t>
            </w:r>
          </w:p>
        </w:tc>
        <w:tc>
          <w:tcPr>
            <w:tcW w:type="dxa" w:w="3289"/>
          </w:tcPr>
          <w:p>
            <w:r>
              <w:t>当前缺口</w:t>
            </w:r>
          </w:p>
        </w:tc>
      </w:tr>
      <w:tr>
        <w:tc>
          <w:tcPr>
            <w:tcW w:type="dxa" w:w="3289"/>
          </w:tcPr>
          <w:p>
            <w:r>
              <w:t>工具名称与机构</w:t>
            </w:r>
          </w:p>
        </w:tc>
        <w:tc>
          <w:tcPr>
            <w:tcW w:type="dxa" w:w="3289"/>
          </w:tcPr>
          <w:p>
            <w:r>
              <w:t>Codex，OpenAI</w:t>
            </w:r>
          </w:p>
        </w:tc>
        <w:tc>
          <w:tcPr>
            <w:tcW w:type="dxa" w:w="3289"/>
          </w:tcPr>
          <w:p>
            <w:r>
              <w:t>具体发布版本、发布日期未核实</w:t>
            </w:r>
          </w:p>
        </w:tc>
      </w:tr>
      <w:tr>
        <w:tc>
          <w:tcPr>
            <w:tcW w:type="dxa" w:w="3289"/>
          </w:tcPr>
          <w:p>
            <w:r>
              <w:t>目的、过程和输出</w:t>
            </w:r>
          </w:p>
        </w:tc>
        <w:tc>
          <w:tcPr>
            <w:tcW w:type="dxa" w:w="3289"/>
          </w:tcPr>
          <w:p>
            <w:r>
              <w:t>会话、代码、开发日志、冻结记录与实际结果</w:t>
            </w:r>
          </w:p>
        </w:tc>
        <w:tc>
          <w:tcPr>
            <w:tcW w:type="dxa" w:w="3289"/>
          </w:tcPr>
          <w:p>
            <w:r>
              <w:t>早期完整对话未导出，仅保留可核实摘录与工作记录</w:t>
            </w:r>
          </w:p>
        </w:tc>
      </w:tr>
      <w:tr>
        <w:tc>
          <w:tcPr>
            <w:tcW w:type="dxa" w:w="3289"/>
          </w:tcPr>
          <w:p>
            <w:r>
              <w:t>当前采纳</w:t>
            </w:r>
          </w:p>
        </w:tc>
        <w:tc>
          <w:tcPr>
            <w:tcW w:type="dxa" w:w="3289"/>
          </w:tcPr>
          <w:p>
            <w:r>
              <w:t>代码、图表和技术论文已进入交接版本</w:t>
            </w:r>
          </w:p>
        </w:tc>
        <w:tc>
          <w:tcPr>
            <w:tcW w:type="dxa" w:w="3289"/>
          </w:tcPr>
          <w:p>
            <w:r>
              <w:t>参赛队最终采纳范围待实际决定</w:t>
            </w:r>
          </w:p>
        </w:tc>
      </w:tr>
      <w:tr>
        <w:tc>
          <w:tcPr>
            <w:tcW w:type="dxa" w:w="3289"/>
          </w:tcPr>
          <w:p>
            <w:r>
              <w:t>人工独立工作、修改与核验</w:t>
            </w:r>
          </w:p>
        </w:tc>
        <w:tc>
          <w:tcPr>
            <w:tcW w:type="dxa" w:w="3289"/>
          </w:tcPr>
          <w:p>
            <w:r>
              <w:t>用户明确回复“尚未开展”</w:t>
            </w:r>
          </w:p>
        </w:tc>
        <w:tc>
          <w:tcPr>
            <w:tcW w:type="dxa" w:w="3289"/>
          </w:tcPr>
          <w:p>
            <w:r>
              <w:t>【待补充】实际工作、修改差异、核验方法与结论</w:t>
            </w:r>
          </w:p>
        </w:tc>
      </w:tr>
    </w:tbl>
    <w:p>
      <w:pPr>
        <w:pStyle w:val="Heading2"/>
      </w:pPr>
      <w:r>
        <w:t>一、所用AI工具名称、版本或型号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</w:tcPr>
          <w:p>
            <w:r>
              <w:t>项目</w:t>
            </w:r>
          </w:p>
        </w:tc>
        <w:tc>
          <w:tcPr>
            <w:tcW w:type="dxa" w:w="4933"/>
          </w:tcPr>
          <w:p>
            <w:r>
              <w:t>记录</w:t>
            </w:r>
          </w:p>
        </w:tc>
      </w:tr>
      <w:tr>
        <w:tc>
          <w:tcPr>
            <w:tcW w:type="dxa" w:w="4933"/>
          </w:tcPr>
          <w:p>
            <w:r>
              <w:t>工具</w:t>
            </w:r>
          </w:p>
        </w:tc>
        <w:tc>
          <w:tcPr>
            <w:tcW w:type="dxa" w:w="4933"/>
          </w:tcPr>
          <w:p>
            <w:r>
              <w:t>Codex</w:t>
            </w:r>
          </w:p>
        </w:tc>
      </w:tr>
      <w:tr>
        <w:tc>
          <w:tcPr>
            <w:tcW w:type="dxa" w:w="4933"/>
          </w:tcPr>
          <w:p>
            <w:r>
              <w:t>开发机构</w:t>
            </w:r>
          </w:p>
        </w:tc>
        <w:tc>
          <w:tcPr>
            <w:tcW w:type="dxa" w:w="4933"/>
          </w:tcPr>
          <w:p>
            <w:r>
              <w:t>OpenAI</w:t>
            </w:r>
          </w:p>
        </w:tc>
      </w:tr>
      <w:tr>
        <w:tc>
          <w:tcPr>
            <w:tcW w:type="dxa" w:w="4933"/>
          </w:tcPr>
          <w:p>
            <w:r>
              <w:t>使用方式</w:t>
            </w:r>
          </w:p>
        </w:tc>
        <w:tc>
          <w:tcPr>
            <w:tcW w:type="dxa" w:w="4933"/>
          </w:tcPr>
          <w:p>
            <w:r>
              <w:t>Codex工作区中的对话与本地工具调用</w:t>
            </w:r>
          </w:p>
        </w:tc>
      </w:tr>
      <w:tr>
        <w:tc>
          <w:tcPr>
            <w:tcW w:type="dxa" w:w="4933"/>
          </w:tcPr>
          <w:p>
            <w:r>
              <w:t>使用日期</w:t>
            </w:r>
          </w:p>
        </w:tc>
        <w:tc>
          <w:tcPr>
            <w:tcW w:type="dxa" w:w="4933"/>
          </w:tcPr>
          <w:p>
            <w:r>
              <w:t>2026年10月17—18日，北京时间</w:t>
            </w:r>
          </w:p>
        </w:tc>
      </w:tr>
      <w:tr>
        <w:tc>
          <w:tcPr>
            <w:tcW w:type="dxa" w:w="4933"/>
          </w:tcPr>
          <w:p>
            <w:r>
              <w:t>版本或型号</w:t>
            </w:r>
          </w:p>
        </w:tc>
        <w:tc>
          <w:tcPr>
            <w:tcW w:type="dxa" w:w="4933"/>
          </w:tcPr>
          <w:p>
            <w:r>
              <w:t>未获得可核实的具体发布版本，不能凭日期猜测；【待补充】如平台能查证则据实填写</w:t>
            </w:r>
          </w:p>
        </w:tc>
      </w:tr>
      <w:tr>
        <w:tc>
          <w:tcPr>
            <w:tcW w:type="dxa" w:w="4933"/>
          </w:tcPr>
          <w:p>
            <w:r>
              <w:t>版本发布日期</w:t>
            </w:r>
          </w:p>
        </w:tc>
        <w:tc>
          <w:tcPr>
            <w:tcW w:type="dxa" w:w="4933"/>
          </w:tcPr>
          <w:p>
            <w:r>
              <w:t>未核实，不虚构</w:t>
            </w:r>
          </w:p>
        </w:tc>
      </w:tr>
    </w:tbl>
    <w:p>
      <w:pPr>
        <w:pStyle w:val="Heading2"/>
      </w:pPr>
      <w:r>
        <w:t>二、具体使用目的和环节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t>编号</w:t>
            </w:r>
          </w:p>
        </w:tc>
        <w:tc>
          <w:tcPr>
            <w:tcW w:type="dxa" w:w="3289"/>
          </w:tcPr>
          <w:p>
            <w:r>
              <w:t>实际环节与AI工作</w:t>
            </w:r>
          </w:p>
        </w:tc>
        <w:tc>
          <w:tcPr>
            <w:tcW w:type="dxa" w:w="3289"/>
          </w:tcPr>
          <w:p>
            <w:r>
              <w:t>论文或材料位置</w:t>
            </w:r>
          </w:p>
        </w:tc>
      </w:tr>
      <w:tr>
        <w:tc>
          <w:tcPr>
            <w:tcW w:type="dxa" w:w="3289"/>
          </w:tcPr>
          <w:p>
            <w:r>
              <w:t>A-01</w:t>
            </w:r>
          </w:p>
        </w:tc>
        <w:tc>
          <w:tcPr>
            <w:tcW w:type="dxa" w:w="3289"/>
          </w:tcPr>
          <w:p>
            <w:r>
              <w:t>读取C题、提交与AI规则，整理执行方案和通俗原理；梳理容量冲突、参考E与CLTC区别</w:t>
            </w:r>
          </w:p>
        </w:tc>
        <w:tc>
          <w:tcPr>
            <w:tcW w:type="dxa" w:w="3289"/>
          </w:tcPr>
          <w:p>
            <w:r>
              <w:t>第1—3节；执行方案、原理说明</w:t>
            </w:r>
          </w:p>
        </w:tc>
      </w:tr>
      <w:tr>
        <w:tc>
          <w:tcPr>
            <w:tcW w:type="dxa" w:w="3289"/>
          </w:tcPr>
          <w:p>
            <w:r>
              <w:t>A-02</w:t>
            </w:r>
          </w:p>
        </w:tc>
        <w:tc>
          <w:tcPr>
            <w:tcW w:type="dxa" w:w="3289"/>
          </w:tcPr>
          <w:p>
            <w:r>
              <w:t>辅助编写数据读取、单位转换、纵向动力、机电转换、Rint电池与双热节点程序及核查</w:t>
            </w:r>
          </w:p>
        </w:tc>
        <w:tc>
          <w:tcPr>
            <w:tcW w:type="dxa" w:w="3289"/>
          </w:tcPr>
          <w:p>
            <w:r>
              <w:t>第4节；data.py、model.py、workflow.py、checks/</w:t>
            </w:r>
          </w:p>
        </w:tc>
      </w:tr>
      <w:tr>
        <w:tc>
          <w:tcPr>
            <w:tcW w:type="dxa" w:w="3289"/>
          </w:tcPr>
          <w:p>
            <w:r>
              <w:t>A-03</w:t>
            </w:r>
          </w:p>
        </w:tc>
        <w:tc>
          <w:tcPr>
            <w:tcW w:type="dxa" w:w="3289"/>
          </w:tcPr>
          <w:p>
            <w:r>
              <w:t>辅助实现共享参数最小二乘、干扰项对照、误差评价、局部块wild及300次非线性重拟合；执行计算并绘图</w:t>
            </w:r>
          </w:p>
        </w:tc>
        <w:tc>
          <w:tcPr>
            <w:tcW w:type="dxa" w:w="3289"/>
          </w:tcPr>
          <w:p>
            <w:r>
              <w:t>第5节；calibration.py、diagnostics.py、reliability.py及冻结结果</w:t>
            </w:r>
          </w:p>
        </w:tc>
      </w:tr>
      <w:tr>
        <w:tc>
          <w:tcPr>
            <w:tcW w:type="dxa" w:w="3289"/>
          </w:tcPr>
          <w:p>
            <w:r>
              <w:t>A-04</w:t>
            </w:r>
          </w:p>
        </w:tc>
        <w:tc>
          <w:tcPr>
            <w:tcW w:type="dxa" w:w="3289"/>
          </w:tcPr>
          <w:p>
            <w:r>
              <w:t>辅助实现72组控制网格、反馈、消融、扰动/迁移、连续驾驶与停车恢复、测温偏差扫描</w:t>
            </w:r>
          </w:p>
        </w:tc>
        <w:tc>
          <w:tcPr>
            <w:tcW w:type="dxa" w:w="3289"/>
          </w:tcPr>
          <w:p>
            <w:r>
              <w:t>第6节；control.py、durability.py及评价表</w:t>
            </w:r>
          </w:p>
        </w:tc>
      </w:tr>
      <w:tr>
        <w:tc>
          <w:tcPr>
            <w:tcW w:type="dxa" w:w="3289"/>
          </w:tcPr>
          <w:p>
            <w:r>
              <w:t>A-05</w:t>
            </w:r>
          </w:p>
        </w:tc>
        <w:tc>
          <w:tcPr>
            <w:tcW w:type="dxa" w:w="3289"/>
          </w:tcPr>
          <w:p>
            <w:r>
              <w:t>按冻结结果整理证据表、论文、排版、引用与支撑包；进行文件、数值和布局检查</w:t>
            </w:r>
          </w:p>
        </w:tc>
        <w:tc>
          <w:tcPr>
            <w:tcW w:type="dxa" w:w="3289"/>
          </w:tcPr>
          <w:p>
            <w:r>
              <w:t>摘要、第7—8节、附录、delivery.py、documents.py、reproduce.py</w:t>
            </w:r>
          </w:p>
        </w:tc>
      </w:tr>
      <w:tr>
        <w:tc>
          <w:tcPr>
            <w:tcW w:type="dxa" w:w="3289"/>
          </w:tcPr>
          <w:p>
            <w:r>
              <w:t>A-06</w:t>
            </w:r>
          </w:p>
        </w:tc>
        <w:tc>
          <w:tcPr>
            <w:tcW w:type="dxa" w:w="3289"/>
          </w:tcPr>
          <w:p>
            <w:r>
              <w:t>辅助开发离线HTML工作台、术语表、全文搜索、学习记录保存与导入导出</w:t>
            </w:r>
          </w:p>
        </w:tc>
        <w:tc>
          <w:tcPr>
            <w:tcW w:type="dxa" w:w="3289"/>
          </w:tcPr>
          <w:p>
            <w:r>
              <w:t>项目工作台、portal/、portal.py及浏览器核查脚本</w:t>
            </w:r>
          </w:p>
        </w:tc>
      </w:tr>
      <w:tr>
        <w:tc>
          <w:tcPr>
            <w:tcW w:type="dxa" w:w="3289"/>
          </w:tcPr>
          <w:p>
            <w:r>
              <w:t>A-07</w:t>
            </w:r>
          </w:p>
        </w:tc>
        <w:tc>
          <w:tcPr>
            <w:tcW w:type="dxa" w:w="3289"/>
          </w:tcPr>
          <w:p>
            <w:r>
              <w:t>检索并实际试用EPA路阻、牛津温度；建立误差裕量对照及一阶RC候选，训练、冻结和比较</w:t>
            </w:r>
          </w:p>
        </w:tc>
        <w:tc>
          <w:tcPr>
            <w:tcW w:type="dxa" w:w="3289"/>
          </w:tcPr>
          <w:p>
            <w:r>
              <w:t>第5.6/6.7节；extension.py、voltage_rc.py、extension_v1/</w:t>
            </w:r>
          </w:p>
        </w:tc>
      </w:tr>
      <w:tr>
        <w:tc>
          <w:tcPr>
            <w:tcW w:type="dxa" w:w="3289"/>
          </w:tcPr>
          <w:p>
            <w:r>
              <w:t>A-08</w:t>
            </w:r>
          </w:p>
        </w:tc>
        <w:tc>
          <w:tcPr>
            <w:tcW w:type="dxa" w:w="3289"/>
          </w:tcPr>
          <w:p>
            <w:r>
              <w:t>基于既有证据完成最终技术稿，统一摘要、模型范围、符号、优化约束、引用顺序，并整理提交目录和更新复现包</w:t>
            </w:r>
          </w:p>
        </w:tc>
        <w:tc>
          <w:tcPr>
            <w:tcW w:type="dxa" w:w="3289"/>
          </w:tcPr>
          <w:p>
            <w:r>
              <w:t>最终稿、提交准备清单、定稿核查及打包记录；未新增科学实验</w:t>
            </w:r>
          </w:p>
        </w:tc>
      </w:tr>
    </w:tbl>
    <w:p>
      <w:pPr>
        <w:pStyle w:val="Heading2"/>
      </w:pPr>
      <w:r>
        <w:t>三、主要提示方式与使用过程说明</w:t>
      </w:r>
    </w:p>
    <w:p>
      <w:pPr>
        <w:pStyle w:val="Heading3"/>
      </w:pPr>
      <w:r>
        <w:t>3.1 A-01至A-02：理解赛题并建立工程</w:t>
      </w:r>
    </w:p>
    <w:p>
      <w:r>
        <w:t>输入为C题PDF、四份附件和通用规范。用户要求详细执行方案、精简方案与通俗原理，并要求创建专用项目目录和持续日志，之后多次要求“继续”。AI据此辅助建立共享物理内核和数据流水线，产生实际可运行代码与文档。用户说明尚未收到容量矛盾的勘误、工具尚未确定并希望推荐。未将容量冲突擅自认定为官方笔误。</w:t>
      </w:r>
    </w:p>
    <w:p>
      <w:pPr>
        <w:pStyle w:val="Heading3"/>
      </w:pPr>
      <w:r>
        <w:t>3.2 A-03：校准、失败保留与可靠性分析</w:t>
      </w:r>
    </w:p>
    <w:p>
      <w:r>
        <w:t>输入为原始行驶记录、附件部件关系、已有模型和训练划分。AI辅助拟合并运行误差、区间和可辨识性诊断。v1训练能耗误差恶化后，基于训练失败增加总能量残差形成v2；600已在v1被查看，此后只称回顾检验。300次非线性重拟合仅用575/596，不将模拟重抽样写成300条新增实测。具体目标、种子、边界、状态和失败可查冻结文件与结果表。</w:t>
      </w:r>
    </w:p>
    <w:p>
      <w:pPr>
        <w:pStyle w:val="Heading3"/>
      </w:pPr>
      <w:r>
        <w:t>3.3 A-04：控制及扩展评价</w:t>
      </w:r>
    </w:p>
    <w:p>
      <w:r>
        <w:t>在用户持续推进授权下，AI辅助写控制规则和实验协议、运行72组离线候选寻优及扩展评价，并保留参数不确定、舒适差异、测温偏差终温失败和高温恢复未齐。未实现MPC，未声称实车热验证或实车节能保证。对比均来自指定模型的实际计算。</w:t>
      </w:r>
    </w:p>
    <w:p>
      <w:pPr>
        <w:pStyle w:val="Heading3"/>
      </w:pPr>
      <w:r>
        <w:t>3.4 A-05至A-06：论文、支撑与工作台</w:t>
      </w:r>
    </w:p>
    <w:p>
      <w:r>
        <w:t>用户要求HTML集中管理，并明确批准全文搜索和学习记录导入导出。AI实现后以离线浏览器检查。随后生成三问审阅稿；本轮用户要求暂不处理视频，先整理论文与支撑材料并交由两位同学复现。AI据此准备技术定稿、共享包和精简支撑包。此记录不表示队员已完成核心工作或已经正式提交。</w:t>
      </w:r>
    </w:p>
    <w:p>
      <w:pPr>
        <w:pStyle w:val="Heading3"/>
      </w:pPr>
      <w:r>
        <w:t>3.5 后续技术修复</w:t>
      </w:r>
    </w:p>
    <w:p>
      <w:r>
        <w:t>用户原话：“我自己完成就可以了，请你尝试解决这些问题，解决不了请你告诉我。”AI实际实现并运行OCV缩放、滚阻下界诊断、温度偏差观测、共同到达前电池回温和6项解析核查，写入论文5.5/6.6及remediation_v1。电压部分改善、滚阻未解决、精确模型与失配压力的差异均保留；人工计划没有写成已完成。</w:t>
      </w:r>
    </w:p>
    <w:p>
      <w:pPr>
        <w:pStyle w:val="Heading3"/>
      </w:pPr>
      <w:r>
        <w:t>3.6 A-07：外部数据试用与新电压模型</w:t>
      </w:r>
    </w:p>
    <w:p>
      <w:r>
        <w:t>真实用户要求为尝试外部道路阻力和温度数据、允许容量透明处理、说明测温偏差办法，并在完成上述工作后保留原方案、尝试新电压模型并比较选优。输入为全部官方材料、已有失败、EPA原表和牛津原始样例。AI先另存协议、输入及代码哈希，再实际运行外部路阻固定值重拟合、牛津前60%训练/后40%预测、60组直接反馈误差裕量试验，最后仅用575/596训练两初值RC，冻结后比较已查看的588/600。</w:t>
      </w:r>
    </w:p>
    <w:p>
      <w:r>
        <w:t>工程不采纳外车参数或电芯热参数直接迁移；推荐一阶RC用于电压预测，保留旧控制证据，记录59/60及低温失败。7项解析与4项步长核查、隔离完整重算属于AI工具执行，不是人工独立推导或核验。队员实际修改、审查与最终采纳仍【待补充】；具体发布版本和发布日期仍未核实。</w:t>
      </w:r>
    </w:p>
    <w:p>
      <w:pPr>
        <w:pStyle w:val="Heading2"/>
      </w:pPr>
      <w:r>
        <w:t>四、AI输出的采纳、人工修改和核验情况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</w:tcPr>
          <w:p>
            <w:r>
              <w:t>编号</w:t>
            </w:r>
          </w:p>
        </w:tc>
        <w:tc>
          <w:tcPr>
            <w:tcW w:type="dxa" w:w="2466"/>
          </w:tcPr>
          <w:p>
            <w:r>
              <w:t>当前工程采纳情况</w:t>
            </w:r>
          </w:p>
        </w:tc>
        <w:tc>
          <w:tcPr>
            <w:tcW w:type="dxa" w:w="2466"/>
          </w:tcPr>
          <w:p>
            <w:r>
              <w:t>人工修改与核验</w:t>
            </w:r>
          </w:p>
        </w:tc>
        <w:tc>
          <w:tcPr>
            <w:tcW w:type="dxa" w:w="2466"/>
          </w:tcPr>
          <w:p>
            <w:r>
              <w:t>工具实际核查证据</w:t>
            </w:r>
          </w:p>
        </w:tc>
      </w:tr>
      <w:tr>
        <w:tc>
          <w:tcPr>
            <w:tcW w:type="dxa" w:w="2466"/>
          </w:tcPr>
          <w:p>
            <w:r>
              <w:t>A-01</w:t>
            </w:r>
          </w:p>
        </w:tc>
        <w:tc>
          <w:tcPr>
            <w:tcW w:type="dxa" w:w="2466"/>
          </w:tcPr>
          <w:p>
            <w:r>
              <w:t>已形成解读、方案及口径记录</w:t>
            </w:r>
          </w:p>
        </w:tc>
        <w:tc>
          <w:tcPr>
            <w:tcW w:type="dxa" w:w="2466"/>
          </w:tcPr>
          <w:p>
            <w:r>
              <w:t>尚未开展；【待补充】队员对原题的逐项核对</w:t>
            </w:r>
          </w:p>
        </w:tc>
        <w:tc>
          <w:tcPr>
            <w:tcW w:type="dxa" w:w="2466"/>
          </w:tcPr>
          <w:p>
            <w:r>
              <w:t>原题读取、9文件哈希清单、decisions.md</w:t>
            </w:r>
          </w:p>
        </w:tc>
      </w:tr>
      <w:tr>
        <w:tc>
          <w:tcPr>
            <w:tcW w:type="dxa" w:w="2466"/>
          </w:tcPr>
          <w:p>
            <w:r>
              <w:t>A-02</w:t>
            </w:r>
          </w:p>
        </w:tc>
        <w:tc>
          <w:tcPr>
            <w:tcW w:type="dxa" w:w="2466"/>
          </w:tcPr>
          <w:p>
            <w:r>
              <w:t>已形成模型、读取程序和核查代码</w:t>
            </w:r>
          </w:p>
        </w:tc>
        <w:tc>
          <w:tcPr>
            <w:tcW w:type="dxa" w:w="2466"/>
          </w:tcPr>
          <w:p>
            <w:r>
              <w:t>尚未开展；【待补充】独立推导、量纲/守恒手算及代码检查</w:t>
            </w:r>
          </w:p>
        </w:tc>
        <w:tc>
          <w:tcPr>
            <w:tcW w:type="dxa" w:w="2466"/>
          </w:tcPr>
          <w:p>
            <w:r>
              <w:t>原34项程序检查、步长收敛结果；不等同人工核验</w:t>
            </w:r>
          </w:p>
        </w:tc>
      </w:tr>
      <w:tr>
        <w:tc>
          <w:tcPr>
            <w:tcW w:type="dxa" w:w="2466"/>
          </w:tcPr>
          <w:p>
            <w:r>
              <w:t>A-03</w:t>
            </w:r>
          </w:p>
        </w:tc>
        <w:tc>
          <w:tcPr>
            <w:tcW w:type="dxa" w:w="2466"/>
          </w:tcPr>
          <w:p>
            <w:r>
              <w:t>冻结v2及诊断进入技术稿，旧失败保留</w:t>
            </w:r>
          </w:p>
        </w:tc>
        <w:tc>
          <w:tcPr>
            <w:tcW w:type="dxa" w:w="2466"/>
          </w:tcPr>
          <w:p>
            <w:r>
              <w:t>尚未开展；【待补充】独立求解/复算与参数解释</w:t>
            </w:r>
          </w:p>
        </w:tc>
        <w:tc>
          <w:tcPr>
            <w:tcW w:type="dxa" w:w="2466"/>
          </w:tcPr>
          <w:p>
            <w:r>
              <w:t>参数冻结、评价、区间、重拟合逐次记录与实验归档</w:t>
            </w:r>
          </w:p>
        </w:tc>
      </w:tr>
      <w:tr>
        <w:tc>
          <w:tcPr>
            <w:tcW w:type="dxa" w:w="2466"/>
          </w:tcPr>
          <w:p>
            <w:r>
              <w:t>A-04</w:t>
            </w:r>
          </w:p>
        </w:tc>
        <w:tc>
          <w:tcPr>
            <w:tcW w:type="dxa" w:w="2466"/>
          </w:tcPr>
          <w:p>
            <w:r>
              <w:t>冻结规则与全部对照/失败进入技术稿</w:t>
            </w:r>
          </w:p>
        </w:tc>
        <w:tc>
          <w:tcPr>
            <w:tcW w:type="dxa" w:w="2466"/>
          </w:tcPr>
          <w:p>
            <w:r>
              <w:t>尚未开展；【待补充】约束、目标和公平性人工核对</w:t>
            </w:r>
          </w:p>
        </w:tc>
        <w:tc>
          <w:tcPr>
            <w:tcW w:type="dxa" w:w="2466"/>
          </w:tcPr>
          <w:p>
            <w:r>
              <w:t>控制/长程冻结、能量账、传感器扫描和失败表</w:t>
            </w:r>
          </w:p>
        </w:tc>
      </w:tr>
      <w:tr>
        <w:tc>
          <w:tcPr>
            <w:tcW w:type="dxa" w:w="2466"/>
          </w:tcPr>
          <w:p>
            <w:r>
              <w:t>A-05</w:t>
            </w:r>
          </w:p>
        </w:tc>
        <w:tc>
          <w:tcPr>
            <w:tcW w:type="dxa" w:w="2466"/>
          </w:tcPr>
          <w:p>
            <w:r>
              <w:t>技术论文、证据索引及复现包用于团队接手</w:t>
            </w:r>
          </w:p>
        </w:tc>
        <w:tc>
          <w:tcPr>
            <w:tcW w:type="dxa" w:w="2466"/>
          </w:tcPr>
          <w:p>
            <w:r>
              <w:t>尚未开展；【待补充】论文改动、代码差异、复现命令与结果</w:t>
            </w:r>
          </w:p>
        </w:tc>
        <w:tc>
          <w:tcPr>
            <w:tcW w:type="dxa" w:w="2466"/>
          </w:tcPr>
          <w:p>
            <w:r>
              <w:t>实际排版/打包/解压运行报告，结果以随包记录为准</w:t>
            </w:r>
          </w:p>
        </w:tc>
      </w:tr>
      <w:tr>
        <w:tc>
          <w:tcPr>
            <w:tcW w:type="dxa" w:w="2466"/>
          </w:tcPr>
          <w:p>
            <w:r>
              <w:t>A-06</w:t>
            </w:r>
          </w:p>
        </w:tc>
        <w:tc>
          <w:tcPr>
            <w:tcW w:type="dxa" w:w="2466"/>
          </w:tcPr>
          <w:p>
            <w:r>
              <w:t>工作台用于日常阅读</w:t>
            </w:r>
          </w:p>
        </w:tc>
        <w:tc>
          <w:tcPr>
            <w:tcW w:type="dxa" w:w="2466"/>
          </w:tcPr>
          <w:p>
            <w:r>
              <w:t>尚未开展；【待补充】队员实际阅读和使用反馈</w:t>
            </w:r>
          </w:p>
        </w:tc>
        <w:tc>
          <w:tcPr>
            <w:tcW w:type="dxa" w:w="2466"/>
          </w:tcPr>
          <w:p>
            <w:r>
              <w:t>离线浏览器核查；词条勾选仅是个人学习记录</w:t>
            </w:r>
          </w:p>
        </w:tc>
      </w:tr>
      <w:tr>
        <w:tc>
          <w:tcPr>
            <w:tcW w:type="dxa" w:w="2466"/>
          </w:tcPr>
          <w:p>
            <w:r>
              <w:t>A-07</w:t>
            </w:r>
          </w:p>
        </w:tc>
        <w:tc>
          <w:tcPr>
            <w:tcW w:type="dxa" w:w="2466"/>
          </w:tcPr>
          <w:p>
            <w:r>
              <w:t>电压预测推荐RC；不采用外部滚阻/热参数替换；测温采取带裕量比较并保留失败</w:t>
            </w:r>
          </w:p>
        </w:tc>
        <w:tc>
          <w:tcPr>
            <w:tcW w:type="dxa" w:w="2466"/>
          </w:tcPr>
          <w:p>
            <w:r>
              <w:t>未提供新增完成记录；【待补充】独立RC推导、代码改动及外部数据适配核验</w:t>
            </w:r>
          </w:p>
        </w:tc>
        <w:tc>
          <w:tcPr>
            <w:tcW w:type="dxa" w:w="2466"/>
          </w:tcPr>
          <w:p>
            <w:r>
              <w:t>extension_v1协议/结果、7项解析、4路步长及完整重算记录</w:t>
            </w:r>
          </w:p>
        </w:tc>
      </w:tr>
      <w:tr>
        <w:tc>
          <w:tcPr>
            <w:tcW w:type="dxa" w:w="2466"/>
          </w:tcPr>
          <w:p>
            <w:r>
              <w:t>A-08</w:t>
            </w:r>
          </w:p>
        </w:tc>
        <w:tc>
          <w:tcPr>
            <w:tcW w:type="dxa" w:w="2466"/>
          </w:tcPr>
          <w:p>
            <w:r>
              <w:t>现有证据进入最终技术稿和提交准备目录；保留数据缺口及真实失败</w:t>
            </w:r>
          </w:p>
        </w:tc>
        <w:tc>
          <w:tcPr>
            <w:tcW w:type="dxa" w:w="2466"/>
          </w:tcPr>
          <w:p>
            <w:r>
              <w:t>用户确认人工核验尚未完成；【待补充】实际审阅、修改及最终采纳</w:t>
            </w:r>
          </w:p>
        </w:tc>
        <w:tc>
          <w:tcPr>
            <w:tcW w:type="dxa" w:w="2466"/>
          </w:tcPr>
          <w:p>
            <w:r>
              <w:t>定稿排版、逐项文件与数值核查、新解压包运行记录；均属工具检查</w:t>
            </w:r>
          </w:p>
        </w:tc>
      </w:tr>
    </w:tbl>
    <w:p>
      <w:r>
        <w:t>核心用途不能弱化成语言润色。队员阅读本文件或运行自动测试，不能被写成已经独立完成模型、实现与分析。随题AI规定第2条仍需真实满足。</w:t>
      </w:r>
    </w:p>
    <w:p>
      <w:pPr>
        <w:pStyle w:val="Heading2"/>
      </w:pPr>
      <w:r>
        <w:t>五、可核实的典型交互摘录</w:t>
      </w:r>
    </w:p>
    <w:p>
      <w:r>
        <w:t>以下为当前会话真实文字或明确标注的输出概括，并非完整聊天导出。早期未保留的逐字回复不作补造。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t>编号</w:t>
            </w:r>
          </w:p>
        </w:tc>
        <w:tc>
          <w:tcPr>
            <w:tcW w:type="dxa" w:w="3289"/>
          </w:tcPr>
          <w:p>
            <w:r>
              <w:t>真实用户输入</w:t>
            </w:r>
          </w:p>
        </w:tc>
        <w:tc>
          <w:tcPr>
            <w:tcW w:type="dxa" w:w="3289"/>
          </w:tcPr>
          <w:p>
            <w:r>
              <w:t>对应AI输出或处理</w:t>
            </w:r>
          </w:p>
        </w:tc>
      </w:tr>
      <w:tr>
        <w:tc>
          <w:tcPr>
            <w:tcW w:type="dxa" w:w="3289"/>
          </w:tcPr>
          <w:p>
            <w:r>
              <w:t>E-01</w:t>
            </w:r>
          </w:p>
        </w:tc>
        <w:tc>
          <w:tcPr>
            <w:tcW w:type="dxa" w:w="3289"/>
          </w:tcPr>
          <w:p>
            <w:r>
              <w:t>“新建一个文件夹专门用于C题的项目开发，把C题相关文件放进这个文件夹。”“新建一个C题的开发日志用于记录关键信息……”</w:t>
            </w:r>
          </w:p>
        </w:tc>
        <w:tc>
          <w:tcPr>
            <w:tcW w:type="dxa" w:w="3289"/>
          </w:tcPr>
          <w:p>
            <w:r>
              <w:t>概括：创建C题项目，归档资料并记录数据、模型、结果与后续任务。见日志及源文件。</w:t>
            </w:r>
          </w:p>
        </w:tc>
      </w:tr>
      <w:tr>
        <w:tc>
          <w:tcPr>
            <w:tcW w:type="dxa" w:w="3289"/>
          </w:tcPr>
          <w:p>
            <w:r>
              <w:t>E-02</w:t>
            </w:r>
          </w:p>
        </w:tc>
        <w:tc>
          <w:tcPr>
            <w:tcW w:type="dxa" w:w="3289"/>
          </w:tcPr>
          <w:p>
            <w:r>
              <w:t>“这个HTML文件包含多个页签可以点击……”“此后撰写文档时请你同步在这个HTML文件里也增加相应页签。”</w:t>
            </w:r>
          </w:p>
        </w:tc>
        <w:tc>
          <w:tcPr>
            <w:tcW w:type="dxa" w:w="3289"/>
          </w:tcPr>
          <w:p>
            <w:r>
              <w:t>概括：实现离线工作台和文档自动同步。全文搜索与学习记录导入/导出获用户明确批准。</w:t>
            </w:r>
          </w:p>
        </w:tc>
      </w:tr>
      <w:tr>
        <w:tc>
          <w:tcPr>
            <w:tcW w:type="dxa" w:w="3289"/>
          </w:tcPr>
          <w:p>
            <w:r>
              <w:t>E-03</w:t>
            </w:r>
          </w:p>
        </w:tc>
        <w:tc>
          <w:tcPr>
            <w:tcW w:type="dxa" w:w="3289"/>
          </w:tcPr>
          <w:p>
            <w:r>
              <w:t>“视频先不管了……给出最终版论文……整理好支撑材料。”</w:t>
            </w:r>
          </w:p>
        </w:tc>
        <w:tc>
          <w:tcPr>
            <w:tcW w:type="dxa" w:w="3289"/>
          </w:tcPr>
          <w:p>
            <w:r>
              <w:t>概括：本轮整理论文技术定稿、精简支撑与完整共享复现材料，视频不再推进。</w:t>
            </w:r>
          </w:p>
        </w:tc>
      </w:tr>
      <w:tr>
        <w:tc>
          <w:tcPr>
            <w:tcW w:type="dxa" w:w="3289"/>
          </w:tcPr>
          <w:p>
            <w:r>
              <w:t>E-04</w:t>
            </w:r>
          </w:p>
        </w:tc>
        <w:tc>
          <w:tcPr>
            <w:tcW w:type="dxa" w:w="3289"/>
          </w:tcPr>
          <w:p>
            <w:r>
              <w:t>AI询问：“三名队员目前实际独立完成或修改过哪些模型、代码、图表或分析，以及怎样做过人工核验？”；用户回复：“尚未开展”。</w:t>
            </w:r>
          </w:p>
        </w:tc>
        <w:tc>
          <w:tcPr>
            <w:tcW w:type="dxa" w:w="3289"/>
          </w:tcPr>
          <w:p>
            <w:r>
              <w:t>该事实进入论文声明、详情工作稿和交付说明。未代写队员已完成独立工作或人工核验。</w:t>
            </w:r>
          </w:p>
        </w:tc>
      </w:tr>
    </w:tbl>
    <w:p>
      <w:r>
        <w:t>【待补充】保存关键原始对话导出或真实截图，并按记录编号对应；不生成虚构交互、签名或审核记录。</w:t>
      </w:r>
    </w:p>
    <w:p>
      <w:pPr>
        <w:pStyle w:val="Heading2"/>
      </w:pPr>
      <w:r>
        <w:t>六、提交前检查</w:t>
      </w:r>
    </w:p>
    <w:p>
      <w:r>
        <w:t>需要队员实际完成：独立核心工作与责任确认、人工修改和核验、关键交互原始记录、可核实工具版本信息及当年AI规则核对，再更新本文及论文声明。当前工作稿含待补充项，不可直接作为完整披露提交。</w:t>
      </w:r>
    </w:p>
    <w:p>
      <w:r>
        <w:t>本文依据当前会话、实际工程和随题规定整理，不替代组委会正式规定。参赛队须对最终披露的真实性、完整性及成果负责。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AI工具使用详情（工作稿）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