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AI工具使用详情</w:t>
      </w:r>
    </w:p>
    <w:p>
      <w:r>
        <w:t>状态：材料不足，含待补信息，不可直接提交。记录依据当前可见的用户原文、源码、开发日志和运行结果；输出概况不冒充完整历史回复。自动复核不等于参赛者人工复核。</w:t>
      </w:r>
    </w:p>
    <w:p>
      <w:pPr>
        <w:pStyle w:val="Heading1"/>
      </w:pPr>
      <w:r>
        <w:t>一、材料完整性与工具信息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已知事实</w:t>
            </w:r>
          </w:p>
        </w:tc>
        <w:tc>
          <w:tcPr>
            <w:tcW w:type="dxa" w:w="2880"/>
          </w:tcPr>
          <w:p>
            <w:r>
              <w:t>尚缺内容</w:t>
            </w:r>
          </w:p>
        </w:tc>
      </w:tr>
      <w:tr>
        <w:tc>
          <w:tcPr>
            <w:tcW w:type="dxa" w:w="2880"/>
          </w:tcPr>
          <w:p>
            <w:r>
              <w:t>名称、机构</w:t>
            </w:r>
          </w:p>
        </w:tc>
        <w:tc>
          <w:tcPr>
            <w:tcW w:type="dxa" w:w="2880"/>
          </w:tcPr>
          <w:p>
            <w:r>
              <w:t>OpenAI Codex，OpenAI；本轮同属AI编码助手协作</w:t>
            </w:r>
          </w:p>
        </w:tc>
        <w:tc>
          <w:tcPr>
            <w:tcW w:type="dxa" w:w="2880"/>
          </w:tcPr>
          <w:p>
            <w:r>
              <w:t>各阶段具体模型、版本、发布日期【待补充】</w:t>
            </w:r>
          </w:p>
        </w:tc>
      </w:tr>
      <w:tr>
        <w:tc>
          <w:tcPr>
            <w:tcW w:type="dxa" w:w="2880"/>
          </w:tcPr>
          <w:p>
            <w:r>
              <w:t>使用时间</w:t>
            </w:r>
          </w:p>
        </w:tc>
        <w:tc>
          <w:tcPr>
            <w:tcW w:type="dxa" w:w="2880"/>
          </w:tcPr>
          <w:p>
            <w:r>
              <w:t>日志记载2026年10月17—18日开发</w:t>
            </w:r>
          </w:p>
        </w:tc>
        <w:tc>
          <w:tcPr>
            <w:tcW w:type="dxa" w:w="2880"/>
          </w:tcPr>
          <w:p>
            <w:r>
              <w:t>更早交互的准确日期、完整对话导出【待补充】</w:t>
            </w:r>
          </w:p>
        </w:tc>
      </w:tr>
      <w:tr>
        <w:tc>
          <w:tcPr>
            <w:tcW w:type="dxa" w:w="2880"/>
          </w:tcPr>
          <w:p>
            <w:r>
              <w:t>用途与过程</w:t>
            </w:r>
          </w:p>
        </w:tc>
        <w:tc>
          <w:tcPr>
            <w:tcW w:type="dxa" w:w="2880"/>
          </w:tcPr>
          <w:p>
            <w:r>
              <w:t>数据、模型、代码、实验、结果、图表、文档、管理页和视频均有实质辅助</w:t>
            </w:r>
          </w:p>
        </w:tc>
        <w:tc>
          <w:tcPr>
            <w:tcW w:type="dxa" w:w="2880"/>
          </w:tcPr>
          <w:p>
            <w:r>
              <w:t>其他AI工具是否使用【待确认】</w:t>
            </w:r>
          </w:p>
        </w:tc>
      </w:tr>
      <w:tr>
        <w:tc>
          <w:tcPr>
            <w:tcW w:type="dxa" w:w="2880"/>
          </w:tcPr>
          <w:p>
            <w:r>
              <w:t>人工修改复核</w:t>
            </w:r>
          </w:p>
        </w:tc>
        <w:tc>
          <w:tcPr>
            <w:tcW w:type="dxa" w:w="2880"/>
          </w:tcPr>
          <w:p>
            <w:r>
              <w:t>用户此前回答“尚未完成”，未获得后续完成确认</w:t>
            </w:r>
          </w:p>
        </w:tc>
        <w:tc>
          <w:tcPr>
            <w:tcW w:type="dxa" w:w="2880"/>
          </w:tcPr>
          <w:p>
            <w:r>
              <w:t>独立推导、实际修改、人工检查对象与证据【待补充】</w:t>
            </w:r>
          </w:p>
        </w:tc>
      </w:tr>
      <w:tr>
        <w:tc>
          <w:tcPr>
            <w:tcW w:type="dxa" w:w="2880"/>
          </w:tcPr>
          <w:p>
            <w:r>
              <w:t>采纳</w:t>
            </w:r>
          </w:p>
        </w:tc>
        <w:tc>
          <w:tcPr>
            <w:tcW w:type="dxa" w:w="2880"/>
          </w:tcPr>
          <w:p>
            <w:r>
              <w:t>输出已进入工作区，技术稿和支撑已整理</w:t>
            </w:r>
          </w:p>
        </w:tc>
        <w:tc>
          <w:tcPr>
            <w:tcW w:type="dxa" w:w="2880"/>
          </w:tcPr>
          <w:p>
            <w:r>
              <w:t>最终采纳及修改决定【待确认】</w:t>
            </w:r>
          </w:p>
        </w:tc>
      </w:tr>
      <w:tr>
        <w:tc>
          <w:tcPr>
            <w:tcW w:type="dxa" w:w="2880"/>
          </w:tcPr>
          <w:p>
            <w:r>
              <w:t>交互</w:t>
            </w:r>
          </w:p>
        </w:tc>
        <w:tc>
          <w:tcPr>
            <w:tcW w:type="dxa" w:w="2880"/>
          </w:tcPr>
          <w:p>
            <w:r>
              <w:t>下文保存可见用户原文及可核对的输出概况</w:t>
            </w:r>
          </w:p>
        </w:tc>
        <w:tc>
          <w:tcPr>
            <w:tcW w:type="dxa" w:w="2880"/>
          </w:tcPr>
          <w:p>
            <w:r>
              <w:t>关键AI原始回复及完整真实记录【待补充】</w:t>
            </w:r>
          </w:p>
        </w:tc>
      </w:tr>
    </w:tbl>
    <w:p>
      <w:r>
        <w:t>工具通过当前工作区的AI编码助手交互使用。不能依据平台默认模型或发布日期反推历史型号；未确认的信息继续留待补充。</w:t>
      </w:r>
    </w:p>
    <w:p>
      <w:pPr>
        <w:pStyle w:val="Heading1"/>
      </w:pPr>
      <w:r>
        <w:t>二、使用目的与材料对应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具体用途</w:t>
            </w:r>
          </w:p>
        </w:tc>
        <w:tc>
          <w:tcPr>
            <w:tcW w:type="dxa" w:w="2880"/>
          </w:tcPr>
          <w:p>
            <w:r>
              <w:t>对应位置</w:t>
            </w:r>
          </w:p>
        </w:tc>
      </w:tr>
      <w:tr>
        <w:tc>
          <w:tcPr>
            <w:tcW w:type="dxa" w:w="2880"/>
          </w:tcPr>
          <w:p>
            <w:r>
              <w:t>A-01</w:t>
            </w:r>
          </w:p>
        </w:tc>
        <w:tc>
          <w:tcPr>
            <w:tcW w:type="dxa" w:w="2880"/>
          </w:tcPr>
          <w:p>
            <w:r>
              <w:t>筛选官方GIS、交通、医院及历史归档来源，下载与保存哈希</w:t>
            </w:r>
          </w:p>
        </w:tc>
        <w:tc>
          <w:tcPr>
            <w:tcW w:type="dxa" w:w="2880"/>
          </w:tcPr>
          <w:p>
            <w:r>
              <w:t>论文5.1，数据工程sources及处理脚本</w:t>
            </w:r>
          </w:p>
        </w:tc>
      </w:tr>
      <w:tr>
        <w:tc>
          <w:tcPr>
            <w:tcW w:type="dxa" w:w="2880"/>
          </w:tcPr>
          <w:p>
            <w:r>
              <w:t>A-02</w:t>
            </w:r>
          </w:p>
        </w:tc>
        <w:tc>
          <w:tcPr>
            <w:tcW w:type="dxa" w:w="2880"/>
          </w:tcPr>
          <w:p>
            <w:r>
              <w:t>设计缺测处理、分时路径率估计、正则、固定合成车辆</w:t>
            </w:r>
          </w:p>
        </w:tc>
        <w:tc>
          <w:tcPr>
            <w:tcW w:type="dxa" w:w="2880"/>
          </w:tcPr>
          <w:p>
            <w:r>
              <w:t>论文5.2—5.3，demand、assimilation模块</w:t>
            </w:r>
          </w:p>
        </w:tc>
      </w:tr>
      <w:tr>
        <w:tc>
          <w:tcPr>
            <w:tcW w:type="dxa" w:w="2880"/>
          </w:tcPr>
          <w:p>
            <w:r>
              <w:t>A-03</w:t>
            </w:r>
          </w:p>
        </w:tc>
        <w:tc>
          <w:tcPr>
            <w:tcW w:type="dxa" w:w="2880"/>
          </w:tcPr>
          <w:p>
            <w:r>
              <w:t>实现SUMO/TraCI、拓扑续接、实时计划、入口控制和道路任务</w:t>
            </w:r>
          </w:p>
        </w:tc>
        <w:tc>
          <w:tcPr>
            <w:tcW w:type="dxa" w:w="2880"/>
          </w:tcPr>
          <w:p>
            <w:r>
              <w:t>论文5—7，b_twin与冻结源码</w:t>
            </w:r>
          </w:p>
        </w:tc>
      </w:tr>
      <w:tr>
        <w:tc>
          <w:tcPr>
            <w:tcW w:type="dxa" w:w="2880"/>
          </w:tcPr>
          <w:p>
            <w:r>
              <w:t>A-04</w:t>
            </w:r>
          </w:p>
        </w:tc>
        <w:tc>
          <w:tcPr>
            <w:tcW w:type="dxa" w:w="2880"/>
          </w:tcPr>
          <w:p>
            <w:r>
              <w:t>设计对照、执行实验、复算车辆成本、误差、守恒和控制决策</w:t>
            </w:r>
          </w:p>
        </w:tc>
        <w:tc>
          <w:tcPr>
            <w:tcW w:type="dxa" w:w="2880"/>
          </w:tcPr>
          <w:p>
            <w:r>
              <w:t>论文5.6—7.4，results及核验报告</w:t>
            </w:r>
          </w:p>
        </w:tc>
      </w:tr>
      <w:tr>
        <w:tc>
          <w:tcPr>
            <w:tcW w:type="dxa" w:w="2880"/>
          </w:tcPr>
          <w:p>
            <w:r>
              <w:t>A-05</w:t>
            </w:r>
          </w:p>
        </w:tc>
        <w:tc>
          <w:tcPr>
            <w:tcW w:type="dxa" w:w="2880"/>
          </w:tcPr>
          <w:p>
            <w:r>
              <w:t>生成HTML页签、进度条、术语学习与文档同步</w:t>
            </w:r>
          </w:p>
        </w:tc>
        <w:tc>
          <w:tcPr>
            <w:tcW w:type="dxa" w:w="2880"/>
          </w:tcPr>
          <w:p>
            <w:r>
              <w:t>管理中心、项目管理页、开发日志</w:t>
            </w:r>
          </w:p>
        </w:tc>
      </w:tr>
      <w:tr>
        <w:tc>
          <w:tcPr>
            <w:tcW w:type="dxa" w:w="2880"/>
          </w:tcPr>
          <w:p>
            <w:r>
              <w:t>A-06</w:t>
            </w:r>
          </w:p>
        </w:tc>
        <w:tc>
          <w:tcPr>
            <w:tcW w:type="dxa" w:w="2880"/>
          </w:tcPr>
          <w:p>
            <w:r>
              <w:t>诊断占有率单位、补救缺数据、有限优化与停止决定</w:t>
            </w:r>
          </w:p>
        </w:tc>
        <w:tc>
          <w:tcPr>
            <w:tcW w:type="dxa" w:w="2880"/>
          </w:tcPr>
          <w:p>
            <w:r>
              <w:t>正确单位v2、stage13—16及冻结方案</w:t>
            </w:r>
          </w:p>
        </w:tc>
      </w:tr>
      <w:tr>
        <w:tc>
          <w:tcPr>
            <w:tcW w:type="dxa" w:w="2880"/>
          </w:tcPr>
          <w:p>
            <w:r>
              <w:t>A-07</w:t>
            </w:r>
          </w:p>
        </w:tc>
        <w:tc>
          <w:tcPr>
            <w:tcW w:type="dxa" w:w="2880"/>
          </w:tcPr>
          <w:p>
            <w:r>
              <w:t>撰写最终技术稿、图表、AI披露，构建和检查支撑包</w:t>
            </w:r>
          </w:p>
        </w:tc>
        <w:tc>
          <w:tcPr>
            <w:tcW w:type="dxa" w:w="2880"/>
          </w:tcPr>
          <w:p>
            <w:r>
              <w:t>论文全文、最终稿证据台账、支撑工具</w:t>
            </w:r>
          </w:p>
        </w:tc>
      </w:tr>
      <w:tr>
        <w:tc>
          <w:tcPr>
            <w:tcW w:type="dxa" w:w="2880"/>
          </w:tcPr>
          <w:p>
            <w:r>
              <w:t>A-08</w:t>
            </w:r>
          </w:p>
        </w:tc>
        <w:tc>
          <w:tcPr>
            <w:tcW w:type="dxa" w:w="2880"/>
          </w:tcPr>
          <w:p>
            <w:r>
              <w:t>重新运行仿真、采样位置、剪辑与本地语音配音</w:t>
            </w:r>
          </w:p>
        </w:tc>
        <w:tc>
          <w:tcPr>
            <w:tcW w:type="dxa" w:w="2880"/>
          </w:tcPr>
          <w:p>
            <w:r>
              <w:t>最终演示视频、采样方案及视频核验</w:t>
            </w:r>
          </w:p>
        </w:tc>
      </w:tr>
    </w:tbl>
    <w:p>
      <w:pPr>
        <w:pStyle w:val="Heading1"/>
      </w:pPr>
      <w:r>
        <w:t>三、主要提示与使用过程</w:t>
      </w:r>
    </w:p>
    <w:p>
      <w:pPr>
        <w:pStyle w:val="Heading2"/>
      </w:pPr>
      <w:r>
        <w:t>A-01—A-02：数据与模型</w:t>
      </w:r>
    </w:p>
    <w:p>
      <w:r>
        <w:t>真实用户输入：“请你尝试解决所有数据的获取问题，遇到问题请你提出”；“好的，请你继续解决数据问题，并且告诉我你的估计方法，说明数据是否合理，能否达到B题的题目要求。”用户同时确认城市不限，优先公开数据齐全，暂不方便现场观测。</w:t>
      </w:r>
    </w:p>
    <w:p>
      <w:r>
        <w:t>输入材料包括原题、官方数据及字段和已有程序。AI输出概况：选择香港官方来源，生成清洗、有效时长扩展、非负路径率估计和固定车辆代码；说明OD非唯一、车辆非实测身份。结果对应论文5.1—5.3及数据工程。关键AI原始回复【待补充真实导出】。</w:t>
      </w:r>
    </w:p>
    <w:p>
      <w:pPr>
        <w:pStyle w:val="Heading2"/>
      </w:pPr>
      <w:r>
        <w:t>A-03—A-04：实现与结果</w:t>
      </w:r>
    </w:p>
    <w:p>
      <w:r>
        <w:t>真实用户输入：“请你继续完成B题的推进和开发”，及多次“继续”。用户要求由其单人推进，不做人员分工。</w:t>
      </w:r>
    </w:p>
    <w:p>
      <w:r>
        <w:t>AI依据赛题、数据与已有源码，多轮生成并运行仿真、控制、应急、时钟与回放模块，整理普通/背景完整成本、误差与未完成。输出包括旧失败、旧单位错误版本及修复后的全部结果；没有将失败删除。当前跨日36次联合精度均未通过。累计349次包括历史错误、诊断和设计条件，不是349次现实独立验证。关键AI原始回复【待补充真实导出】。</w:t>
      </w:r>
    </w:p>
    <w:p>
      <w:pPr>
        <w:pStyle w:val="Heading2"/>
      </w:pPr>
      <w:r>
        <w:t>A-05：管理页与文档</w:t>
      </w:r>
    </w:p>
    <w:p>
      <w:r>
        <w:t>真实用户输入要求可交互HTML页签、首页进度条、参数与术语表、掌握勾选和筛选，并说明：“这个HTML文件是给人看的，所以语言要尽量简洁，大道至简。”</w:t>
      </w:r>
    </w:p>
    <w:p>
      <w:r>
        <w:t>AI输出离线管理页、页面更新器、术语及状态文件，维护开发日志。学习记录存于浏览器或用户导出文件，不将勾选状态视为人工技术复核。关键AI原始回复【待补充真实导出】。</w:t>
      </w:r>
    </w:p>
    <w:p>
      <w:pPr>
        <w:pStyle w:val="Heading2"/>
      </w:pPr>
      <w:r>
        <w:t>A-06：修复、数据补救与有限优化</w:t>
      </w:r>
    </w:p>
    <w:p>
      <w:r>
        <w:t>真实用户输入：“先解决‘真实高峰及跨日精度、治理稳定收益、长期运行和专用救护入口仍缺可靠证据’问题”；随后要求“请你尝试进行优化，如果优化后效果没有明显提升则保留原有方案”。</w:t>
      </w:r>
    </w:p>
    <w:p>
      <w:r>
        <w:t>AI输出概况：接通新官方视频统计、补工作日归档、实际运行一小时、诊断道路占有率比例单位并建立正确单位版本；道路任务取消未核实医院门依赖。预设等待、联合校准、轻中重任务共67次有限搜索，均无合格替换，保留修复后的原方案。背景成本上升、跨日精度失败和零协同触发均如实保留。对应stage13—16、方案和结果报告。关键AI原始回复【待补充真实导出】。</w:t>
      </w:r>
    </w:p>
    <w:p>
      <w:pPr>
        <w:pStyle w:val="Heading2"/>
      </w:pPr>
      <w:r>
        <w:t>A-07—A-08：定稿与交付</w:t>
      </w:r>
    </w:p>
    <w:p>
      <w:r>
        <w:t>真实用户输入：“请你开始写最终版论文并整理支撑材料准备提交。”此前已授权演示视频和支撑开发。</w:t>
      </w:r>
    </w:p>
    <w:p>
      <w:r>
        <w:t>AI输出概况：依据已核验数据重写当前论文，生成新地图、跨日图及物理时间输出，整理证据台账、匿名支撑与复现入口；更新视频到正确单位控制和公共道路任务。视频使用实际重新执行SUMO时采样的位置并加速展示，旁白为Windows本地语音合成，不冒充当前实时HTTP。具体成品与核验结果以交付验收记录为准。关键AI原始回复【待补充真实导出】。</w:t>
      </w:r>
    </w:p>
    <w:p>
      <w:pPr>
        <w:pStyle w:val="Heading1"/>
      </w:pPr>
      <w:r>
        <w:t>四、采纳、人工修改和核验情况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</w:tcPr>
          <w:p>
            <w:r>
              <w:t>记录</w:t>
            </w:r>
          </w:p>
        </w:tc>
        <w:tc>
          <w:tcPr>
            <w:tcW w:type="dxa" w:w="2160"/>
          </w:tcPr>
          <w:p>
            <w:r>
              <w:t>已进入工作区的输出</w:t>
            </w:r>
          </w:p>
        </w:tc>
        <w:tc>
          <w:tcPr>
            <w:tcW w:type="dxa" w:w="2160"/>
          </w:tcPr>
          <w:p>
            <w:r>
              <w:t>人工修改与最终采纳</w:t>
            </w:r>
          </w:p>
        </w:tc>
        <w:tc>
          <w:tcPr>
            <w:tcW w:type="dxa" w:w="2160"/>
          </w:tcPr>
          <w:p>
            <w:r>
              <w:t>核验方式和边界</w:t>
            </w:r>
          </w:p>
        </w:tc>
      </w:tr>
      <w:tr>
        <w:tc>
          <w:tcPr>
            <w:tcW w:type="dxa" w:w="2160"/>
          </w:tcPr>
          <w:p>
            <w:r>
              <w:t>A-01—A-02</w:t>
            </w:r>
          </w:p>
        </w:tc>
        <w:tc>
          <w:tcPr>
            <w:tcW w:type="dxa" w:w="2160"/>
          </w:tcPr>
          <w:p>
            <w:r>
              <w:t>数据、估计方法及代码</w:t>
            </w:r>
          </w:p>
        </w:tc>
        <w:tc>
          <w:tcPr>
            <w:tcW w:type="dxa" w:w="2160"/>
          </w:tcPr>
          <w:p>
            <w:r>
              <w:t>尚未完成，最终决定待确认</w:t>
            </w:r>
          </w:p>
        </w:tc>
        <w:tc>
          <w:tcPr>
            <w:tcW w:type="dxa" w:w="2160"/>
          </w:tcPr>
          <w:p>
            <w:r>
              <w:t>AI驱动来源/单位/矩阵及数据检查；非人工独立推导</w:t>
            </w:r>
          </w:p>
        </w:tc>
      </w:tr>
      <w:tr>
        <w:tc>
          <w:tcPr>
            <w:tcW w:type="dxa" w:w="2160"/>
          </w:tcPr>
          <w:p>
            <w:r>
              <w:t>A-03—A-04</w:t>
            </w:r>
          </w:p>
        </w:tc>
        <w:tc>
          <w:tcPr>
            <w:tcW w:type="dxa" w:w="2160"/>
          </w:tcPr>
          <w:p>
            <w:r>
              <w:t>程序、实验和报告</w:t>
            </w:r>
          </w:p>
        </w:tc>
        <w:tc>
          <w:tcPr>
            <w:tcW w:type="dxa" w:w="2160"/>
          </w:tcPr>
          <w:p>
            <w:r>
              <w:t>尚未完成</w:t>
            </w:r>
          </w:p>
        </w:tc>
        <w:tc>
          <w:tcPr>
            <w:tcW w:type="dxa" w:w="2160"/>
          </w:tcPr>
          <w:p>
            <w:r>
              <w:t>自动测试、哈希、全部车辆/控制决策复算；不是本人逐行检查</w:t>
            </w:r>
          </w:p>
        </w:tc>
      </w:tr>
      <w:tr>
        <w:tc>
          <w:tcPr>
            <w:tcW w:type="dxa" w:w="2160"/>
          </w:tcPr>
          <w:p>
            <w:r>
              <w:t>A-05</w:t>
            </w:r>
          </w:p>
        </w:tc>
        <w:tc>
          <w:tcPr>
            <w:tcW w:type="dxa" w:w="2160"/>
          </w:tcPr>
          <w:p>
            <w:r>
              <w:t>页面、术语、日志</w:t>
            </w:r>
          </w:p>
        </w:tc>
        <w:tc>
          <w:tcPr>
            <w:tcW w:type="dxa" w:w="2160"/>
          </w:tcPr>
          <w:p>
            <w:r>
              <w:t>尚未完成</w:t>
            </w:r>
          </w:p>
        </w:tc>
        <w:tc>
          <w:tcPr>
            <w:tcW w:type="dxa" w:w="2160"/>
          </w:tcPr>
          <w:p>
            <w:r>
              <w:t>自动离线浏览与交互检查；非人工理解确认</w:t>
            </w:r>
          </w:p>
        </w:tc>
      </w:tr>
      <w:tr>
        <w:tc>
          <w:tcPr>
            <w:tcW w:type="dxa" w:w="2160"/>
          </w:tcPr>
          <w:p>
            <w:r>
              <w:t>A-06</w:t>
            </w:r>
          </w:p>
        </w:tc>
        <w:tc>
          <w:tcPr>
            <w:tcW w:type="dxa" w:w="2160"/>
          </w:tcPr>
          <w:p>
            <w:r>
              <w:t>修复版本与有限优化</w:t>
            </w:r>
          </w:p>
        </w:tc>
        <w:tc>
          <w:tcPr>
            <w:tcW w:type="dxa" w:w="2160"/>
          </w:tcPr>
          <w:p>
            <w:r>
              <w:t>当前技术版保留修复原方案；本人采纳待确认</w:t>
            </w:r>
          </w:p>
        </w:tc>
        <w:tc>
          <w:tcPr>
            <w:tcW w:type="dxa" w:w="2160"/>
          </w:tcPr>
          <w:p>
            <w:r>
              <w:t>冻结方案、同输入配对、失败保留和停止规则自动检查</w:t>
            </w:r>
          </w:p>
        </w:tc>
      </w:tr>
      <w:tr>
        <w:tc>
          <w:tcPr>
            <w:tcW w:type="dxa" w:w="2160"/>
          </w:tcPr>
          <w:p>
            <w:r>
              <w:t>A-07—A-08</w:t>
            </w:r>
          </w:p>
        </w:tc>
        <w:tc>
          <w:tcPr>
            <w:tcW w:type="dxa" w:w="2160"/>
          </w:tcPr>
          <w:p>
            <w:r>
              <w:t>论文、支撑和演示</w:t>
            </w:r>
          </w:p>
        </w:tc>
        <w:tc>
          <w:tcPr>
            <w:tcW w:type="dxa" w:w="2160"/>
          </w:tcPr>
          <w:p>
            <w:r>
              <w:t>技术整理版；本人审阅待完成</w:t>
            </w:r>
          </w:p>
        </w:tc>
        <w:tc>
          <w:tcPr>
            <w:tcW w:type="dxa" w:w="2160"/>
          </w:tcPr>
          <w:p>
            <w:r>
              <w:t>编译、页面视查、独立解压复算、代表重演和视频格式检查由AI驱动工具完成</w:t>
            </w:r>
          </w:p>
        </w:tc>
      </w:tr>
    </w:tbl>
    <w:p>
      <w:r>
        <w:t>此前助手询问本人做过哪些代码修改、建模决定或结果复核，及其他AI工具、具体模型。用户回复：“尚未完成”。本说明不把此回复解释为未使用其他工具或已完成独立工作。以后若实际完成，应追加真实日期、检查对象、修改及证据，不倒填历史。</w:t>
      </w:r>
    </w:p>
    <w:p>
      <w:pPr>
        <w:pStyle w:val="Heading1"/>
      </w:pPr>
      <w:r>
        <w:t>五、提交前必须补充</w:t>
      </w:r>
    </w:p>
    <w:p>
      <w:r>
        <w:t>1. 真实工具型号、版本发布日期、其他工具、准确使用时间及关键交互原件；本稿输出概况不是完整AI回复。</w:t>
      </w:r>
    </w:p>
    <w:p>
      <w:r>
        <w:t>2. 本人独立工作、实际修改、采纳和复核记录。自动检查不能替代比赛要求的核心工作独立完成。</w:t>
      </w:r>
    </w:p>
    <w:p>
      <w:r>
        <w:t>3. 对照当年正式AI规定复核全文标注、程序注释、详情PDF；未补齐前不能称为直接可提交材料。</w:t>
      </w:r>
    </w:p>
    <w:p>
      <w:r>
        <w:t>工作区AI规定题头为2025年试行，格式规范指向2026年试行，正式提交应以组委会当年最新规定为准。规则要求核心建模、仿真实现和分析由队员独立完成；披露实质AI参与并不自动满足该要求。</w:t>
      </w:r>
    </w:p>
    <w:p>
      <w:r>
        <w:t>本说明不含队号、姓名学校、账号或密钥。文件根据现有材料整理，不替代组委会规定；参赛者对真实性、完整性与AI输出的核验承担责任。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AI工具使用详情（待补信息）</dc:title>
  <dc:subject>未经人工复核，不可直接提交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