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eastAsia="黑体"/>
          <w:b/>
          <w:color w:val="000000"/>
          <w:sz w:val="32"/>
        </w:rPr>
        <w:t>基于官方路线数据的街区交通数字孪生与有界源端协同治理</w:t>
      </w:r>
    </w:p>
    <w:p>
      <w:pPr>
        <w:pStyle w:val="Heading1"/>
        <w:spacing w:before="200" w:after="120"/>
        <w:ind w:firstLine="0"/>
        <w:jc w:val="center"/>
      </w:pPr>
      <w:r>
        <w:rPr>
          <w:rFonts w:ascii="Times New Roman" w:hAnsi="Times New Roman" w:eastAsia="黑体"/>
          <w:b/>
          <w:color w:val="000000"/>
          <w:sz w:val="28"/>
        </w:rPr>
        <w:t>摘 要</w:t>
      </w:r>
    </w:p>
    <w:p>
      <w:r>
        <w:rPr>
          <w:rFonts w:ascii="Times New Roman" w:hAnsi="Times New Roman" w:eastAsia="宋体"/>
          <w:b w:val="0"/>
          <w:color w:val="000000"/>
          <w:sz w:val="24"/>
        </w:rPr>
        <w:t>针对城市街区中道路状态可见而干预效果难以核验的问题，建立官方GIS证据、方向拓扑、路线观测与微观仿真相结合的交通数字孪生原型。以上海瑞金医院周边为例，实时归档百度路线与路况接口，按五分钟桶保留160条有效固定路线快照；建立含307个有向外部分段、310个允许转向、六个需求OD和八条完整候选的局部路网。将地图几何、平台预计时间与仿真轨迹分层保存，避免以路线估计代替逐车实测。</w:t>
      </w:r>
    </w:p>
    <w:p>
      <w:r>
        <w:rPr>
          <w:rFonts w:ascii="Times New Roman" w:hAnsi="Times New Roman" w:eastAsia="宋体"/>
          <w:b w:val="0"/>
          <w:color w:val="000000"/>
          <w:sz w:val="24"/>
        </w:rPr>
        <w:t>在一般交通基准上，只用训练块拟合非负共享ETA映射，并保留OD中位数参照。跨日96条留出样本中，共享映射MAE为217.73秒，高于参照200.46秒，显示单时段状态不能直接跨日迁移。进一步提出当前信息选路A，以及任务发布后的有界源端协调B，完成22组固定协议仿真，全部到达且碰撞、传送、丢弃为零。更强慢行下A使普通交通总时间减少8.77%；高需求S3中，B相对A使任务292降至232秒、普通交通总成本减少3340车秒，但仍有30辆普通车变慢。主设置B无任务收益，普通成本增加995车秒。</w:t>
      </w:r>
    </w:p>
    <w:p>
      <w:r>
        <w:rPr>
          <w:rFonts w:ascii="Times New Roman" w:hAnsi="Times New Roman" w:eastAsia="宋体"/>
          <w:b w:val="0"/>
          <w:color w:val="000000"/>
          <w:sz w:val="24"/>
        </w:rPr>
        <w:t>结果表明路径可行性、因果时序和完整等待计费共同决定治理结论。本文保留无收益与不利结果，给出可复现输入、输出和离线回放；平台ETA观测层检验不等同于现场物理校准，假设事件及源端控制效果限于当前子图和参数。</w:t>
      </w:r>
    </w:p>
    <w:p>
      <w:r>
        <w:rPr>
          <w:rFonts w:ascii="Times New Roman" w:hAnsi="Times New Roman" w:eastAsia="宋体"/>
          <w:b w:val="0"/>
          <w:color w:val="000000"/>
          <w:sz w:val="24"/>
        </w:rPr>
        <w:t>关键词：交通数字孪生；GIS；路径选择；源端协调；时间外推验证</w:t>
      </w:r>
    </w:p>
    <w:p>
      <w:r>
        <w:br w:type="page"/>
      </w:r>
    </w:p>
    <w:p>
      <w:pPr>
        <w:pStyle w:val="Heading1"/>
        <w:spacing w:before="200" w:after="120"/>
        <w:ind w:firstLine="0"/>
        <w:jc w:val="center"/>
      </w:pPr>
      <w:r>
        <w:rPr>
          <w:rFonts w:ascii="Times New Roman" w:hAnsi="Times New Roman" w:eastAsia="黑体"/>
          <w:b/>
          <w:color w:val="000000"/>
          <w:sz w:val="28"/>
        </w:rPr>
        <w:t>目 录</w:t>
      </w:r>
    </w:p>
    <w:p>
      <w:pPr>
        <w:ind w:firstLine="0"/>
      </w:pPr>
      <w:r>
        <w:rPr>
          <w:rFonts w:ascii="Times New Roman" w:hAnsi="Times New Roman" w:eastAsia="宋体"/>
          <w:b w:val="0"/>
          <w:color w:val="000000"/>
          <w:sz w:val="24"/>
        </w:rPr>
        <w:t>1 问题界定与研究设计  ……  3</w:t>
      </w:r>
    </w:p>
    <w:p>
      <w:pPr>
        <w:ind w:firstLine="0"/>
      </w:pPr>
      <w:r>
        <w:rPr>
          <w:rFonts w:ascii="Times New Roman" w:hAnsi="Times New Roman" w:eastAsia="宋体"/>
          <w:b w:val="0"/>
          <w:color w:val="000000"/>
          <w:sz w:val="24"/>
        </w:rPr>
        <w:t>2 官方数据、时间窗口与质量控制  ……  3</w:t>
      </w:r>
    </w:p>
    <w:p>
      <w:pPr>
        <w:ind w:firstLine="0"/>
      </w:pPr>
      <w:r>
        <w:rPr>
          <w:rFonts w:ascii="Times New Roman" w:hAnsi="Times New Roman" w:eastAsia="宋体"/>
          <w:b w:val="0"/>
          <w:color w:val="000000"/>
          <w:sz w:val="24"/>
        </w:rPr>
        <w:t>3 GIS平行空间与数字孪生封装  ……  5</w:t>
      </w:r>
    </w:p>
    <w:p>
      <w:pPr>
        <w:ind w:firstLine="0"/>
      </w:pPr>
      <w:r>
        <w:rPr>
          <w:rFonts w:ascii="Times New Roman" w:hAnsi="Times New Roman" w:eastAsia="宋体"/>
          <w:b w:val="0"/>
          <w:color w:val="000000"/>
          <w:sz w:val="24"/>
        </w:rPr>
        <w:t>4 情景一：微观基准与观测层验证  ……  7</w:t>
      </w:r>
    </w:p>
    <w:p>
      <w:pPr>
        <w:ind w:firstLine="0"/>
      </w:pPr>
      <w:r>
        <w:rPr>
          <w:rFonts w:ascii="Times New Roman" w:hAnsi="Times New Roman" w:eastAsia="宋体"/>
          <w:b w:val="0"/>
          <w:color w:val="000000"/>
          <w:sz w:val="24"/>
        </w:rPr>
        <w:t>5 情景二：基于当前信息的路径治理A  ……  10</w:t>
      </w:r>
    </w:p>
    <w:p>
      <w:pPr>
        <w:ind w:firstLine="0"/>
      </w:pPr>
      <w:r>
        <w:rPr>
          <w:rFonts w:ascii="Times New Roman" w:hAnsi="Times New Roman" w:eastAsia="宋体"/>
          <w:b w:val="0"/>
          <w:color w:val="000000"/>
          <w:sz w:val="24"/>
        </w:rPr>
        <w:t>6 情景三：任务感知的有界源端协同B  ……  10</w:t>
      </w:r>
    </w:p>
    <w:p>
      <w:pPr>
        <w:ind w:firstLine="0"/>
      </w:pPr>
      <w:r>
        <w:rPr>
          <w:rFonts w:ascii="Times New Roman" w:hAnsi="Times New Roman" w:eastAsia="宋体"/>
          <w:b w:val="0"/>
          <w:color w:val="000000"/>
          <w:sz w:val="24"/>
        </w:rPr>
        <w:t>7 仿真实验、结果与证据对账  ……  11</w:t>
      </w:r>
    </w:p>
    <w:p>
      <w:pPr>
        <w:ind w:firstLine="0"/>
      </w:pPr>
      <w:r>
        <w:rPr>
          <w:rFonts w:ascii="Times New Roman" w:hAnsi="Times New Roman" w:eastAsia="宋体"/>
          <w:b w:val="0"/>
          <w:color w:val="000000"/>
          <w:sz w:val="24"/>
        </w:rPr>
        <w:t>8 泛化、局限与可复现性  ……  14</w:t>
      </w:r>
    </w:p>
    <w:p>
      <w:pPr>
        <w:ind w:firstLine="0"/>
      </w:pPr>
      <w:r>
        <w:rPr>
          <w:rFonts w:ascii="Times New Roman" w:hAnsi="Times New Roman" w:eastAsia="宋体"/>
          <w:b w:val="0"/>
          <w:color w:val="000000"/>
          <w:sz w:val="24"/>
        </w:rPr>
        <w:t>9 结论  ……  15</w:t>
      </w:r>
    </w:p>
    <w:p>
      <w:pPr>
        <w:ind w:firstLine="0"/>
      </w:pPr>
      <w:r>
        <w:rPr>
          <w:rFonts w:ascii="Times New Roman" w:hAnsi="Times New Roman" w:eastAsia="宋体"/>
          <w:b w:val="0"/>
          <w:color w:val="000000"/>
          <w:sz w:val="24"/>
        </w:rPr>
        <w:t>参考文献  ……  15</w:t>
      </w:r>
    </w:p>
    <w:p>
      <w:pPr>
        <w:ind w:firstLine="0"/>
      </w:pPr>
      <w:r>
        <w:rPr>
          <w:rFonts w:ascii="Times New Roman" w:hAnsi="Times New Roman" w:eastAsia="宋体"/>
          <w:b w:val="0"/>
          <w:color w:val="000000"/>
          <w:sz w:val="24"/>
        </w:rPr>
        <w:t>AI工具使用声明  ……  16</w:t>
      </w:r>
    </w:p>
    <w:p>
      <w:pPr>
        <w:ind w:firstLine="0"/>
      </w:pPr>
      <w:r>
        <w:rPr>
          <w:rFonts w:ascii="Times New Roman" w:hAnsi="Times New Roman" w:eastAsia="宋体"/>
          <w:b w:val="0"/>
          <w:color w:val="000000"/>
          <w:sz w:val="24"/>
        </w:rPr>
        <w:t>附录A 复现入口与支撑文件清单  ……  16</w:t>
      </w:r>
    </w:p>
    <w:p>
      <w:r>
        <w:br w:type="page"/>
      </w:r>
    </w:p>
    <w:p>
      <w:pPr>
        <w:pStyle w:val="Heading1"/>
        <w:spacing w:before="200" w:after="120"/>
        <w:ind w:firstLine="0"/>
        <w:jc w:val="center"/>
      </w:pPr>
      <w:r>
        <w:rPr>
          <w:rFonts w:ascii="Times New Roman" w:hAnsi="Times New Roman" w:eastAsia="黑体"/>
          <w:b/>
          <w:color w:val="000000"/>
          <w:sz w:val="28"/>
        </w:rPr>
        <w:t>1 问题界定与研究设计</w:t>
      </w:r>
    </w:p>
    <w:p>
      <w:r>
        <w:rPr>
          <w:rFonts w:ascii="Times New Roman" w:hAnsi="Times New Roman" w:eastAsia="宋体"/>
          <w:b w:val="0"/>
          <w:color w:val="000000"/>
          <w:sz w:val="24"/>
        </w:rPr>
        <w:t>交通数字孪生的价值在于把“看见道路状态”与“比较干预后果”连接起来。若地图显示一条道路拥堵，但模型中没有合法的替代路径，选路算法就没有实际可执行的动作；若应急车辆变快的代价是普通车辆在模型外等待，却没有计入评价，所谓协同收益又会被高估。本文因此围绕道路证据、路径可行性、状态时间和完整等待成本构建研究链条。</w:t>
      </w:r>
    </w:p>
    <w:p>
      <w:r>
        <w:rPr>
          <w:rFonts w:ascii="Times New Roman" w:hAnsi="Times New Roman" w:eastAsia="宋体"/>
          <w:b w:val="0"/>
          <w:color w:val="000000"/>
          <w:sz w:val="24"/>
        </w:rPr>
        <w:t>依据赛题的问题一至问题三[1]，选择上海瑞金医院总院周边街区作为局部研究区：先建立官方GIS数据支持的一般交通基准，再研究假设慢行事件下的路径治理A，最后加入医院外围道路接驳任务，考察有界源端放行协调B。本文的“全域”指所定义街区内数据、模型、任务和输出的统一封装，不表示已获得上海全市完整路网或全部交通参与者。</w:t>
      </w:r>
    </w:p>
    <w:p>
      <w:r>
        <w:rPr>
          <w:rFonts w:ascii="Times New Roman" w:hAnsi="Times New Roman" w:eastAsia="宋体"/>
          <w:b w:val="0"/>
          <w:color w:val="000000"/>
          <w:sz w:val="24"/>
        </w:rPr>
        <w:t>研究分为两条互相校验的证据链。观测链保存百度接口的空间几何、平台路线预计时间与请求记录，检验数据质量和时间外推误差；仿真链保持同一需求、事件和车辆参数，比较不同治理动作。观测层的拟合误差与仿真层的干预效果分别报告，避免把接口预计时间当作车辆实测到达时间，也避免把预测参照拟合成功等同于微观交通模型已通过现场验证。</w:t>
      </w:r>
    </w:p>
    <w:tbl>
      <w:tblPr>
        <w:tblStyle w:val="TableGrid"/>
        <w:tblW w:type="auto" w:w="0"/>
        <w:jc w:val="center"/>
        <w:tblLook w:firstColumn="1" w:firstRow="1" w:lastColumn="0" w:lastRow="0" w:noHBand="0" w:noVBand="1" w:val="04A0"/>
      </w:tblPr>
      <w:tblGrid>
        <w:gridCol w:w="3061"/>
        <w:gridCol w:w="3061"/>
        <w:gridCol w:w="3061"/>
      </w:tblGrid>
      <w:tr>
        <w:trPr>
          <w:cantSplit/>
          <w:tblHeader/>
        </w:trPr>
        <w:tc>
          <w:tcPr>
            <w:tcW w:type="dxa" w:w="3061"/>
            <w:vAlign w:val="center"/>
          </w:tcPr>
          <w:p>
            <w:pPr>
              <w:spacing w:line="240" w:lineRule="auto" w:before="0" w:after="0"/>
              <w:ind w:firstLine="0"/>
            </w:pPr>
            <w:r>
              <w:rPr>
                <w:rFonts w:ascii="Times New Roman" w:hAnsi="Times New Roman" w:eastAsia="宋体"/>
                <w:b/>
                <w:color w:val="000000"/>
                <w:sz w:val="24"/>
              </w:rPr>
              <w:t>研究问题</w:t>
            </w:r>
          </w:p>
        </w:tc>
        <w:tc>
          <w:tcPr>
            <w:tcW w:type="dxa" w:w="3061"/>
            <w:vAlign w:val="center"/>
          </w:tcPr>
          <w:p>
            <w:pPr>
              <w:spacing w:line="240" w:lineRule="auto" w:before="0" w:after="0"/>
              <w:ind w:firstLine="0"/>
            </w:pPr>
            <w:r>
              <w:rPr>
                <w:rFonts w:ascii="Times New Roman" w:hAnsi="Times New Roman" w:eastAsia="宋体"/>
                <w:b/>
                <w:color w:val="000000"/>
                <w:sz w:val="24"/>
              </w:rPr>
              <w:t>本文的实现与证据</w:t>
            </w:r>
          </w:p>
        </w:tc>
        <w:tc>
          <w:tcPr>
            <w:tcW w:type="dxa" w:w="3061"/>
            <w:vAlign w:val="center"/>
          </w:tcPr>
          <w:p>
            <w:pPr>
              <w:spacing w:line="240" w:lineRule="auto" w:before="0" w:after="0"/>
              <w:ind w:firstLine="0"/>
            </w:pPr>
            <w:r>
              <w:rPr>
                <w:rFonts w:ascii="Times New Roman" w:hAnsi="Times New Roman" w:eastAsia="宋体"/>
                <w:b/>
                <w:color w:val="000000"/>
                <w:sz w:val="24"/>
              </w:rPr>
              <w:t>主要章节</w:t>
            </w:r>
          </w:p>
        </w:tc>
      </w:tr>
      <w:tr>
        <w:trPr>
          <w:cantSplit/>
        </w:trPr>
        <w:tc>
          <w:tcPr>
            <w:tcW w:type="dxa" w:w="3061"/>
            <w:vAlign w:val="center"/>
          </w:tcPr>
          <w:p>
            <w:pPr>
              <w:spacing w:line="240" w:lineRule="auto" w:before="0" w:after="0"/>
              <w:ind w:firstLine="0"/>
            </w:pPr>
            <w:r>
              <w:rPr>
                <w:rFonts w:ascii="Times New Roman" w:hAnsi="Times New Roman" w:eastAsia="宋体"/>
                <w:b w:val="0"/>
                <w:color w:val="000000"/>
                <w:sz w:val="24"/>
              </w:rPr>
              <w:t>问题一：数据、平行空间、基准及泛化</w:t>
            </w:r>
          </w:p>
        </w:tc>
        <w:tc>
          <w:tcPr>
            <w:tcW w:type="dxa" w:w="3061"/>
            <w:vAlign w:val="center"/>
          </w:tcPr>
          <w:p>
            <w:pPr>
              <w:spacing w:line="240" w:lineRule="auto" w:before="0" w:after="0"/>
              <w:ind w:firstLine="0"/>
            </w:pPr>
            <w:r>
              <w:rPr>
                <w:rFonts w:ascii="Times New Roman" w:hAnsi="Times New Roman" w:eastAsia="宋体"/>
                <w:b w:val="0"/>
                <w:color w:val="000000"/>
                <w:sz w:val="24"/>
              </w:rPr>
              <w:t>实时接口归档、方向图、SUMO封装、独立时间块检验</w:t>
            </w:r>
          </w:p>
        </w:tc>
        <w:tc>
          <w:tcPr>
            <w:tcW w:type="dxa" w:w="3061"/>
            <w:vAlign w:val="center"/>
          </w:tcPr>
          <w:p>
            <w:pPr>
              <w:spacing w:line="240" w:lineRule="auto" w:before="0" w:after="0"/>
              <w:ind w:firstLine="0"/>
            </w:pPr>
            <w:r>
              <w:rPr>
                <w:rFonts w:ascii="Times New Roman" w:hAnsi="Times New Roman" w:eastAsia="宋体"/>
                <w:b w:val="0"/>
                <w:color w:val="000000"/>
                <w:sz w:val="24"/>
              </w:rPr>
              <w:t>第2—4章</w:t>
            </w:r>
          </w:p>
        </w:tc>
      </w:tr>
      <w:tr>
        <w:trPr>
          <w:cantSplit/>
        </w:trPr>
        <w:tc>
          <w:tcPr>
            <w:tcW w:type="dxa" w:w="3061"/>
            <w:vAlign w:val="center"/>
          </w:tcPr>
          <w:p>
            <w:pPr>
              <w:spacing w:line="240" w:lineRule="auto" w:before="0" w:after="0"/>
              <w:ind w:firstLine="0"/>
            </w:pPr>
            <w:r>
              <w:rPr>
                <w:rFonts w:ascii="Times New Roman" w:hAnsi="Times New Roman" w:eastAsia="宋体"/>
                <w:b w:val="0"/>
                <w:color w:val="000000"/>
                <w:sz w:val="24"/>
              </w:rPr>
              <w:t>问题二：治理A及与基准对比</w:t>
            </w:r>
          </w:p>
        </w:tc>
        <w:tc>
          <w:tcPr>
            <w:tcW w:type="dxa" w:w="3061"/>
            <w:vAlign w:val="center"/>
          </w:tcPr>
          <w:p>
            <w:pPr>
              <w:spacing w:line="240" w:lineRule="auto" w:before="0" w:after="0"/>
              <w:ind w:firstLine="0"/>
            </w:pPr>
            <w:r>
              <w:rPr>
                <w:rFonts w:ascii="Times New Roman" w:hAnsi="Times New Roman" w:eastAsia="宋体"/>
                <w:b w:val="0"/>
                <w:color w:val="000000"/>
                <w:sz w:val="24"/>
              </w:rPr>
              <w:t>同OD完整候选、当前信息选路、慢行强度及需求敏感性</w:t>
            </w:r>
          </w:p>
        </w:tc>
        <w:tc>
          <w:tcPr>
            <w:tcW w:type="dxa" w:w="3061"/>
            <w:vAlign w:val="center"/>
          </w:tcPr>
          <w:p>
            <w:pPr>
              <w:spacing w:line="240" w:lineRule="auto" w:before="0" w:after="0"/>
              <w:ind w:firstLine="0"/>
            </w:pPr>
            <w:r>
              <w:rPr>
                <w:rFonts w:ascii="Times New Roman" w:hAnsi="Times New Roman" w:eastAsia="宋体"/>
                <w:b w:val="0"/>
                <w:color w:val="000000"/>
                <w:sz w:val="24"/>
              </w:rPr>
              <w:t>第5、7章</w:t>
            </w:r>
          </w:p>
        </w:tc>
      </w:tr>
      <w:tr>
        <w:trPr>
          <w:cantSplit/>
        </w:trPr>
        <w:tc>
          <w:tcPr>
            <w:tcW w:type="dxa" w:w="3061"/>
            <w:vAlign w:val="center"/>
          </w:tcPr>
          <w:p>
            <w:pPr>
              <w:spacing w:line="240" w:lineRule="auto" w:before="0" w:after="0"/>
              <w:ind w:firstLine="0"/>
            </w:pPr>
            <w:r>
              <w:rPr>
                <w:rFonts w:ascii="Times New Roman" w:hAnsi="Times New Roman" w:eastAsia="宋体"/>
                <w:b w:val="0"/>
                <w:color w:val="000000"/>
                <w:sz w:val="24"/>
              </w:rPr>
              <w:t>问题三：治理B及保障协同</w:t>
            </w:r>
          </w:p>
        </w:tc>
        <w:tc>
          <w:tcPr>
            <w:tcW w:type="dxa" w:w="3061"/>
            <w:vAlign w:val="center"/>
          </w:tcPr>
          <w:p>
            <w:pPr>
              <w:spacing w:line="240" w:lineRule="auto" w:before="0" w:after="0"/>
              <w:ind w:firstLine="0"/>
            </w:pPr>
            <w:r>
              <w:rPr>
                <w:rFonts w:ascii="Times New Roman" w:hAnsi="Times New Roman" w:eastAsia="宋体"/>
                <w:b w:val="0"/>
                <w:color w:val="000000"/>
                <w:sz w:val="24"/>
              </w:rPr>
              <w:t>任务发布后有界源端控制、任务时间与普通交通代价</w:t>
            </w:r>
          </w:p>
        </w:tc>
        <w:tc>
          <w:tcPr>
            <w:tcW w:type="dxa" w:w="3061"/>
            <w:vAlign w:val="center"/>
          </w:tcPr>
          <w:p>
            <w:pPr>
              <w:spacing w:line="240" w:lineRule="auto" w:before="0" w:after="0"/>
              <w:ind w:firstLine="0"/>
            </w:pPr>
            <w:r>
              <w:rPr>
                <w:rFonts w:ascii="Times New Roman" w:hAnsi="Times New Roman" w:eastAsia="宋体"/>
                <w:b w:val="0"/>
                <w:color w:val="000000"/>
                <w:sz w:val="24"/>
              </w:rPr>
              <w:t>第6、7章</w:t>
            </w:r>
          </w:p>
        </w:tc>
      </w:tr>
      <w:tr>
        <w:trPr>
          <w:cantSplit/>
        </w:trPr>
        <w:tc>
          <w:tcPr>
            <w:tcW w:type="dxa" w:w="3061"/>
            <w:vAlign w:val="center"/>
          </w:tcPr>
          <w:p>
            <w:pPr>
              <w:spacing w:line="240" w:lineRule="auto" w:before="0" w:after="0"/>
              <w:ind w:firstLine="0"/>
            </w:pPr>
            <w:r>
              <w:rPr>
                <w:rFonts w:ascii="Times New Roman" w:hAnsi="Times New Roman" w:eastAsia="宋体"/>
                <w:b w:val="0"/>
                <w:color w:val="000000"/>
                <w:sz w:val="24"/>
              </w:rPr>
              <w:t>系统输出与时间步长对应</w:t>
            </w:r>
          </w:p>
        </w:tc>
        <w:tc>
          <w:tcPr>
            <w:tcW w:type="dxa" w:w="3061"/>
            <w:vAlign w:val="center"/>
          </w:tcPr>
          <w:p>
            <w:pPr>
              <w:spacing w:line="240" w:lineRule="auto" w:before="0" w:after="0"/>
              <w:ind w:firstLine="0"/>
            </w:pPr>
            <w:r>
              <w:rPr>
                <w:rFonts w:ascii="Times New Roman" w:hAnsi="Times New Roman" w:eastAsia="宋体"/>
                <w:b w:val="0"/>
                <w:color w:val="000000"/>
                <w:sz w:val="24"/>
              </w:rPr>
              <w:t>请求/接收时间、1秒仿真步、5秒FCD、时序曲线</w:t>
            </w:r>
          </w:p>
        </w:tc>
        <w:tc>
          <w:tcPr>
            <w:tcW w:type="dxa" w:w="3061"/>
            <w:vAlign w:val="center"/>
          </w:tcPr>
          <w:p>
            <w:pPr>
              <w:spacing w:line="240" w:lineRule="auto" w:before="0" w:after="0"/>
              <w:ind w:firstLine="0"/>
            </w:pPr>
            <w:r>
              <w:rPr>
                <w:rFonts w:ascii="Times New Roman" w:hAnsi="Times New Roman" w:eastAsia="宋体"/>
                <w:b w:val="0"/>
                <w:color w:val="000000"/>
                <w:sz w:val="24"/>
              </w:rPr>
              <w:t>第2、4、7章</w:t>
            </w:r>
          </w:p>
        </w:tc>
      </w:tr>
    </w:tbl>
    <w:p>
      <w:pPr>
        <w:spacing w:after="0"/>
      </w:pPr>
    </w:p>
    <w:p>
      <w:r>
        <w:rPr>
          <w:rFonts w:ascii="Times New Roman" w:hAnsi="Times New Roman" w:eastAsia="宋体"/>
          <w:b w:val="0"/>
          <w:color w:val="000000"/>
          <w:sz w:val="24"/>
        </w:rPr>
        <w:t>方法、程序、图表和文稿形成过程中使用了AI辅助；贡献范围及尚需队员完成的独立理解、复核和实质修订列于参考文献后的声明。本文不把自动化测试或代理交叉检查表述为参赛队员已经完成的人工审核。</w:t>
      </w:r>
    </w:p>
    <w:p>
      <w:pPr>
        <w:pStyle w:val="Heading1"/>
        <w:spacing w:before="200" w:after="120"/>
        <w:ind w:firstLine="0"/>
        <w:jc w:val="center"/>
      </w:pPr>
      <w:r>
        <w:rPr>
          <w:rFonts w:ascii="Times New Roman" w:hAnsi="Times New Roman" w:eastAsia="黑体"/>
          <w:b/>
          <w:color w:val="000000"/>
          <w:sz w:val="28"/>
        </w:rPr>
        <w:t>2 官方数据、时间窗口与质量控制</w:t>
      </w:r>
    </w:p>
    <w:p>
      <w:pPr>
        <w:pStyle w:val="Heading2"/>
        <w:spacing w:before="120" w:after="120"/>
        <w:ind w:firstLine="0"/>
      </w:pPr>
      <w:r>
        <w:rPr>
          <w:rFonts w:ascii="Times New Roman" w:hAnsi="Times New Roman" w:eastAsia="宋体"/>
          <w:b/>
          <w:color w:val="000000"/>
          <w:sz w:val="24"/>
        </w:rPr>
        <w:t>2.1 数据来源及字段解释</w:t>
      </w:r>
    </w:p>
    <w:p>
      <w:r>
        <w:rPr>
          <w:rFonts w:ascii="Times New Roman" w:hAnsi="Times New Roman" w:eastAsia="宋体"/>
          <w:b w:val="0"/>
          <w:color w:val="000000"/>
          <w:sz w:val="24"/>
        </w:rPr>
        <w:t>道路证据来自百度地图开放平台轻量驾车路线规划；输入起终点、道路类型和路线偏好，取得方案距离、预计耗时、分步说明与折线。官方文档规定了BD09LL坐标、米和秒等单位，并支持途经点及起点车头方向[2]。本文统一请求与返回坐标为BD09LL，固定普通道路起点和不走高速偏好。由于真实车头朝向未知，不将同一OD标签下相近吸附点自动视为可相互转移的车道；正式干预候选要求与默认路线具有相同首末边。</w:t>
      </w:r>
    </w:p>
    <w:p>
      <w:r>
        <w:rPr>
          <w:rFonts w:ascii="Times New Roman" w:hAnsi="Times New Roman" w:eastAsia="宋体"/>
          <w:b w:val="0"/>
          <w:color w:val="000000"/>
          <w:sz w:val="24"/>
        </w:rPr>
        <w:t>矩形路况查询提供指定区域的拥堵信息[3]。采集器按约120秒查询路况、按约300秒查询四组固定OD路线，各请求独立保存发出与接收时间、业务状态和脱敏响应。道路速度字段只描述接口返回的相关路段，不自动成为全路网速度，更不构成车流量或逐车轨迹。未返回的字段保持缺测，未以零速度、零需求或自由流状态填补。</w:t>
      </w:r>
    </w:p>
    <w:tbl>
      <w:tblPr>
        <w:tblStyle w:val="TableGrid"/>
        <w:tblW w:type="auto" w:w="0"/>
        <w:jc w:val="center"/>
        <w:tblLook w:firstColumn="1" w:firstRow="1" w:lastColumn="0" w:lastRow="0" w:noHBand="0" w:noVBand="1" w:val="04A0"/>
      </w:tblPr>
      <w:tblGrid>
        <w:gridCol w:w="3061"/>
        <w:gridCol w:w="3061"/>
        <w:gridCol w:w="3061"/>
      </w:tblGrid>
      <w:tr>
        <w:trPr>
          <w:cantSplit/>
          <w:tblHeader/>
        </w:trPr>
        <w:tc>
          <w:tcPr>
            <w:tcW w:type="dxa" w:w="3061"/>
            <w:vAlign w:val="center"/>
          </w:tcPr>
          <w:p>
            <w:pPr>
              <w:spacing w:line="240" w:lineRule="auto" w:before="0" w:after="0"/>
              <w:ind w:firstLine="0"/>
            </w:pPr>
            <w:r>
              <w:rPr>
                <w:rFonts w:ascii="Times New Roman" w:hAnsi="Times New Roman" w:eastAsia="宋体"/>
                <w:b/>
                <w:color w:val="000000"/>
                <w:sz w:val="24"/>
              </w:rPr>
              <w:t>数据层</w:t>
            </w:r>
          </w:p>
        </w:tc>
        <w:tc>
          <w:tcPr>
            <w:tcW w:type="dxa" w:w="3061"/>
            <w:vAlign w:val="center"/>
          </w:tcPr>
          <w:p>
            <w:pPr>
              <w:spacing w:line="240" w:lineRule="auto" w:before="0" w:after="0"/>
              <w:ind w:firstLine="0"/>
            </w:pPr>
            <w:r>
              <w:rPr>
                <w:rFonts w:ascii="Times New Roman" w:hAnsi="Times New Roman" w:eastAsia="宋体"/>
                <w:b/>
                <w:color w:val="000000"/>
                <w:sz w:val="24"/>
              </w:rPr>
              <w:t>主要字段及用途</w:t>
            </w:r>
          </w:p>
        </w:tc>
        <w:tc>
          <w:tcPr>
            <w:tcW w:type="dxa" w:w="3061"/>
            <w:vAlign w:val="center"/>
          </w:tcPr>
          <w:p>
            <w:pPr>
              <w:spacing w:line="240" w:lineRule="auto" w:before="0" w:after="0"/>
              <w:ind w:firstLine="0"/>
            </w:pPr>
            <w:r>
              <w:rPr>
                <w:rFonts w:ascii="Times New Roman" w:hAnsi="Times New Roman" w:eastAsia="宋体"/>
                <w:b/>
                <w:color w:val="000000"/>
                <w:sz w:val="24"/>
              </w:rPr>
              <w:t>不能直接推断的内容</w:t>
            </w:r>
          </w:p>
        </w:tc>
      </w:tr>
      <w:tr>
        <w:trPr>
          <w:cantSplit/>
        </w:trPr>
        <w:tc>
          <w:tcPr>
            <w:tcW w:type="dxa" w:w="3061"/>
            <w:vAlign w:val="center"/>
          </w:tcPr>
          <w:p>
            <w:pPr>
              <w:spacing w:line="240" w:lineRule="auto" w:before="0" w:after="0"/>
              <w:ind w:firstLine="0"/>
            </w:pPr>
            <w:r>
              <w:rPr>
                <w:rFonts w:ascii="Times New Roman" w:hAnsi="Times New Roman" w:eastAsia="宋体"/>
                <w:b w:val="0"/>
                <w:color w:val="000000"/>
                <w:sz w:val="24"/>
              </w:rPr>
              <w:t>空间路线</w:t>
            </w:r>
          </w:p>
        </w:tc>
        <w:tc>
          <w:tcPr>
            <w:tcW w:type="dxa" w:w="3061"/>
            <w:vAlign w:val="center"/>
          </w:tcPr>
          <w:p>
            <w:pPr>
              <w:spacing w:line="240" w:lineRule="auto" w:before="0" w:after="0"/>
              <w:ind w:firstLine="0"/>
            </w:pPr>
            <w:r>
              <w:rPr>
                <w:rFonts w:ascii="Times New Roman" w:hAnsi="Times New Roman" w:eastAsia="宋体"/>
                <w:b w:val="0"/>
                <w:color w:val="000000"/>
                <w:sz w:val="24"/>
              </w:rPr>
              <w:t>BD09折线、分步道路名、转向、距离；构造方向与连续关系</w:t>
            </w:r>
          </w:p>
        </w:tc>
        <w:tc>
          <w:tcPr>
            <w:tcW w:type="dxa" w:w="3061"/>
            <w:vAlign w:val="center"/>
          </w:tcPr>
          <w:p>
            <w:pPr>
              <w:spacing w:line="240" w:lineRule="auto" w:before="0" w:after="0"/>
              <w:ind w:firstLine="0"/>
            </w:pPr>
            <w:r>
              <w:rPr>
                <w:rFonts w:ascii="Times New Roman" w:hAnsi="Times New Roman" w:eastAsia="宋体"/>
                <w:b w:val="0"/>
                <w:color w:val="000000"/>
                <w:sz w:val="24"/>
              </w:rPr>
              <w:t>完整车道数、全部转向、实际信号配时</w:t>
            </w:r>
          </w:p>
        </w:tc>
      </w:tr>
      <w:tr>
        <w:trPr>
          <w:cantSplit/>
        </w:trPr>
        <w:tc>
          <w:tcPr>
            <w:tcW w:type="dxa" w:w="3061"/>
            <w:vAlign w:val="center"/>
          </w:tcPr>
          <w:p>
            <w:pPr>
              <w:spacing w:line="240" w:lineRule="auto" w:before="0" w:after="0"/>
              <w:ind w:firstLine="0"/>
            </w:pPr>
            <w:r>
              <w:rPr>
                <w:rFonts w:ascii="Times New Roman" w:hAnsi="Times New Roman" w:eastAsia="宋体"/>
                <w:b w:val="0"/>
                <w:color w:val="000000"/>
                <w:sz w:val="24"/>
              </w:rPr>
              <w:t>时间状态</w:t>
            </w:r>
          </w:p>
        </w:tc>
        <w:tc>
          <w:tcPr>
            <w:tcW w:type="dxa" w:w="3061"/>
            <w:vAlign w:val="center"/>
          </w:tcPr>
          <w:p>
            <w:pPr>
              <w:spacing w:line="240" w:lineRule="auto" w:before="0" w:after="0"/>
              <w:ind w:firstLine="0"/>
            </w:pPr>
            <w:r>
              <w:rPr>
                <w:rFonts w:ascii="Times New Roman" w:hAnsi="Times New Roman" w:eastAsia="宋体"/>
                <w:b w:val="0"/>
                <w:color w:val="000000"/>
                <w:sz w:val="24"/>
              </w:rPr>
              <w:t>平台路线ETA、部分路况速度；描述观测快照</w:t>
            </w:r>
          </w:p>
        </w:tc>
        <w:tc>
          <w:tcPr>
            <w:tcW w:type="dxa" w:w="3061"/>
            <w:vAlign w:val="center"/>
          </w:tcPr>
          <w:p>
            <w:pPr>
              <w:spacing w:line="240" w:lineRule="auto" w:before="0" w:after="0"/>
              <w:ind w:firstLine="0"/>
            </w:pPr>
            <w:r>
              <w:rPr>
                <w:rFonts w:ascii="Times New Roman" w:hAnsi="Times New Roman" w:eastAsia="宋体"/>
                <w:b w:val="0"/>
                <w:color w:val="000000"/>
                <w:sz w:val="24"/>
              </w:rPr>
              <w:t>个体车辆真实行程、精确采样时刻</w:t>
            </w:r>
          </w:p>
        </w:tc>
      </w:tr>
      <w:tr>
        <w:trPr>
          <w:cantSplit/>
        </w:trPr>
        <w:tc>
          <w:tcPr>
            <w:tcW w:type="dxa" w:w="3061"/>
            <w:vAlign w:val="center"/>
          </w:tcPr>
          <w:p>
            <w:pPr>
              <w:spacing w:line="240" w:lineRule="auto" w:before="0" w:after="0"/>
              <w:ind w:firstLine="0"/>
            </w:pPr>
            <w:r>
              <w:rPr>
                <w:rFonts w:ascii="Times New Roman" w:hAnsi="Times New Roman" w:eastAsia="宋体"/>
                <w:b w:val="0"/>
                <w:color w:val="000000"/>
                <w:sz w:val="24"/>
              </w:rPr>
              <w:t>采集审计</w:t>
            </w:r>
          </w:p>
        </w:tc>
        <w:tc>
          <w:tcPr>
            <w:tcW w:type="dxa" w:w="3061"/>
            <w:vAlign w:val="center"/>
          </w:tcPr>
          <w:p>
            <w:pPr>
              <w:spacing w:line="240" w:lineRule="auto" w:before="0" w:after="0"/>
              <w:ind w:firstLine="0"/>
            </w:pPr>
            <w:r>
              <w:rPr>
                <w:rFonts w:ascii="Times New Roman" w:hAnsi="Times New Roman" w:eastAsia="宋体"/>
                <w:b w:val="0"/>
                <w:color w:val="000000"/>
                <w:sz w:val="24"/>
              </w:rPr>
              <w:t>请求/接收时间、来源文件、SHA-256、状态</w:t>
            </w:r>
          </w:p>
        </w:tc>
        <w:tc>
          <w:tcPr>
            <w:tcW w:type="dxa" w:w="3061"/>
            <w:vAlign w:val="center"/>
          </w:tcPr>
          <w:p>
            <w:pPr>
              <w:spacing w:line="240" w:lineRule="auto" w:before="0" w:after="0"/>
              <w:ind w:firstLine="0"/>
            </w:pPr>
            <w:r>
              <w:rPr>
                <w:rFonts w:ascii="Times New Roman" w:hAnsi="Times New Roman" w:eastAsia="宋体"/>
                <w:b w:val="0"/>
                <w:color w:val="000000"/>
                <w:sz w:val="24"/>
              </w:rPr>
              <w:t>平台内部计算与观测延迟</w:t>
            </w:r>
          </w:p>
        </w:tc>
      </w:tr>
      <w:tr>
        <w:trPr>
          <w:cantSplit/>
        </w:trPr>
        <w:tc>
          <w:tcPr>
            <w:tcW w:type="dxa" w:w="3061"/>
            <w:vAlign w:val="center"/>
          </w:tcPr>
          <w:p>
            <w:pPr>
              <w:spacing w:line="240" w:lineRule="auto" w:before="0" w:after="0"/>
              <w:ind w:firstLine="0"/>
            </w:pPr>
            <w:r>
              <w:rPr>
                <w:rFonts w:ascii="Times New Roman" w:hAnsi="Times New Roman" w:eastAsia="宋体"/>
                <w:b w:val="0"/>
                <w:color w:val="000000"/>
                <w:sz w:val="24"/>
              </w:rPr>
              <w:t>仿真输出</w:t>
            </w:r>
          </w:p>
        </w:tc>
        <w:tc>
          <w:tcPr>
            <w:tcW w:type="dxa" w:w="3061"/>
            <w:vAlign w:val="center"/>
          </w:tcPr>
          <w:p>
            <w:pPr>
              <w:spacing w:line="240" w:lineRule="auto" w:before="0" w:after="0"/>
              <w:ind w:firstLine="0"/>
            </w:pPr>
            <w:r>
              <w:rPr>
                <w:rFonts w:ascii="Times New Roman" w:hAnsi="Times New Roman" w:eastAsia="宋体"/>
                <w:b w:val="0"/>
                <w:color w:val="000000"/>
                <w:sz w:val="24"/>
              </w:rPr>
              <w:t>车辆位置、速度、排队、到达、入网等待</w:t>
            </w:r>
          </w:p>
        </w:tc>
        <w:tc>
          <w:tcPr>
            <w:tcW w:type="dxa" w:w="3061"/>
            <w:vAlign w:val="center"/>
          </w:tcPr>
          <w:p>
            <w:pPr>
              <w:spacing w:line="240" w:lineRule="auto" w:before="0" w:after="0"/>
              <w:ind w:firstLine="0"/>
            </w:pPr>
            <w:r>
              <w:rPr>
                <w:rFonts w:ascii="Times New Roman" w:hAnsi="Times New Roman" w:eastAsia="宋体"/>
                <w:b w:val="0"/>
                <w:color w:val="000000"/>
                <w:sz w:val="24"/>
              </w:rPr>
              <w:t>未经验证的现实治理收益</w:t>
            </w:r>
          </w:p>
        </w:tc>
      </w:tr>
    </w:tbl>
    <w:p>
      <w:pPr>
        <w:spacing w:after="0"/>
      </w:pPr>
    </w:p>
    <w:p>
      <w:pPr>
        <w:pStyle w:val="Heading2"/>
        <w:spacing w:before="120" w:after="120"/>
        <w:ind w:firstLine="0"/>
      </w:pPr>
      <w:r>
        <w:rPr>
          <w:rFonts w:ascii="Times New Roman" w:hAnsi="Times New Roman" w:eastAsia="宋体"/>
          <w:b/>
          <w:color w:val="000000"/>
          <w:sz w:val="24"/>
        </w:rPr>
        <w:t>2.2 时间分区与数据冻结</w:t>
      </w:r>
    </w:p>
    <w:p>
      <w:r>
        <w:rPr>
          <w:rFonts w:ascii="Times New Roman" w:hAnsi="Times New Roman" w:eastAsia="宋体"/>
          <w:b w:val="0"/>
          <w:color w:val="000000"/>
          <w:sz w:val="24"/>
        </w:rPr>
        <w:t>正式持续采集共取得164条路线响应，按统一规则移除4条重复后，保留160条固定几何样本。持续观测覆盖北至南、南至北、西至医院外围和东至医院外围四个OD；六OD仿真需求与四OD连续观测不可混为同一数量。正式会话另有100次矩形路况响应，用于状态浏览及来源核查，未拿它们反演车流量。</w:t>
      </w:r>
    </w:p>
    <w:tbl>
      <w:tblPr>
        <w:tblStyle w:val="TableGrid"/>
        <w:tblW w:type="auto" w:w="0"/>
        <w:jc w:val="center"/>
        <w:tblLook w:firstColumn="1" w:firstRow="1" w:lastColumn="0" w:lastRow="0" w:noHBand="0" w:noVBand="1" w:val="04A0"/>
      </w:tblPr>
      <w:tblGrid>
        <w:gridCol w:w="2296"/>
        <w:gridCol w:w="2296"/>
        <w:gridCol w:w="2296"/>
        <w:gridCol w:w="2296"/>
      </w:tblGrid>
      <w:tr>
        <w:trPr>
          <w:cantSplit/>
          <w:tblHeader/>
        </w:trPr>
        <w:tc>
          <w:tcPr>
            <w:tcW w:type="dxa" w:w="2296"/>
            <w:vAlign w:val="center"/>
          </w:tcPr>
          <w:p>
            <w:pPr>
              <w:spacing w:line="240" w:lineRule="auto" w:before="0" w:after="0"/>
              <w:ind w:firstLine="0"/>
            </w:pPr>
            <w:r>
              <w:rPr>
                <w:rFonts w:ascii="Times New Roman" w:hAnsi="Times New Roman" w:eastAsia="宋体"/>
                <w:b/>
                <w:color w:val="000000"/>
                <w:sz w:val="24"/>
              </w:rPr>
              <w:t>分区</w:t>
            </w:r>
          </w:p>
        </w:tc>
        <w:tc>
          <w:tcPr>
            <w:tcW w:type="dxa" w:w="2296"/>
            <w:vAlign w:val="center"/>
          </w:tcPr>
          <w:p>
            <w:pPr>
              <w:spacing w:line="240" w:lineRule="auto" w:before="0" w:after="0"/>
              <w:ind w:firstLine="0"/>
            </w:pPr>
            <w:r>
              <w:rPr>
                <w:rFonts w:ascii="Times New Roman" w:hAnsi="Times New Roman" w:eastAsia="宋体"/>
                <w:b/>
                <w:color w:val="000000"/>
                <w:sz w:val="24"/>
              </w:rPr>
              <w:t>北京时间（2026年）</w:t>
            </w:r>
          </w:p>
        </w:tc>
        <w:tc>
          <w:tcPr>
            <w:tcW w:type="dxa" w:w="2296"/>
            <w:vAlign w:val="center"/>
          </w:tcPr>
          <w:p>
            <w:pPr>
              <w:spacing w:line="240" w:lineRule="auto" w:before="0" w:after="0"/>
              <w:ind w:firstLine="0"/>
            </w:pPr>
            <w:r>
              <w:rPr>
                <w:rFonts w:ascii="Times New Roman" w:hAnsi="Times New Roman" w:eastAsia="宋体"/>
                <w:b/>
                <w:color w:val="000000"/>
                <w:sz w:val="24"/>
              </w:rPr>
              <w:t>每OD条数</w:t>
            </w:r>
          </w:p>
        </w:tc>
        <w:tc>
          <w:tcPr>
            <w:tcW w:type="dxa" w:w="2296"/>
            <w:vAlign w:val="center"/>
          </w:tcPr>
          <w:p>
            <w:pPr>
              <w:spacing w:line="240" w:lineRule="auto" w:before="0" w:after="0"/>
              <w:ind w:firstLine="0"/>
            </w:pPr>
            <w:r>
              <w:rPr>
                <w:rFonts w:ascii="Times New Roman" w:hAnsi="Times New Roman" w:eastAsia="宋体"/>
                <w:b/>
                <w:color w:val="000000"/>
                <w:sz w:val="24"/>
              </w:rPr>
              <w:t>合计</w:t>
            </w:r>
          </w:p>
        </w:tc>
      </w:tr>
      <w:tr>
        <w:trPr>
          <w:cantSplit/>
        </w:trPr>
        <w:tc>
          <w:tcPr>
            <w:tcW w:type="dxa" w:w="2296"/>
            <w:vAlign w:val="center"/>
          </w:tcPr>
          <w:p>
            <w:pPr>
              <w:spacing w:line="240" w:lineRule="auto" w:before="0" w:after="0"/>
              <w:ind w:firstLine="0"/>
            </w:pPr>
            <w:r>
              <w:rPr>
                <w:rFonts w:ascii="Times New Roman" w:hAnsi="Times New Roman" w:eastAsia="宋体"/>
                <w:b w:val="0"/>
                <w:color w:val="000000"/>
                <w:sz w:val="24"/>
              </w:rPr>
              <w:t>训练</w:t>
            </w:r>
          </w:p>
        </w:tc>
        <w:tc>
          <w:tcPr>
            <w:tcW w:type="dxa" w:w="2296"/>
            <w:vAlign w:val="center"/>
          </w:tcPr>
          <w:p>
            <w:pPr>
              <w:spacing w:line="240" w:lineRule="auto" w:before="0" w:after="0"/>
              <w:ind w:firstLine="0"/>
            </w:pPr>
            <w:r>
              <w:rPr>
                <w:rFonts w:ascii="Times New Roman" w:hAnsi="Times New Roman" w:eastAsia="宋体"/>
                <w:b w:val="0"/>
                <w:color w:val="000000"/>
                <w:sz w:val="24"/>
              </w:rPr>
              <w:t>10月17日14:55—15:55</w:t>
            </w:r>
          </w:p>
        </w:tc>
        <w:tc>
          <w:tcPr>
            <w:tcW w:type="dxa" w:w="2296"/>
            <w:vAlign w:val="center"/>
          </w:tcPr>
          <w:p>
            <w:pPr>
              <w:spacing w:line="240" w:lineRule="auto" w:before="0" w:after="0"/>
              <w:ind w:firstLine="0"/>
            </w:pPr>
            <w:r>
              <w:rPr>
                <w:rFonts w:ascii="Times New Roman" w:hAnsi="Times New Roman" w:eastAsia="宋体"/>
                <w:b w:val="0"/>
                <w:color w:val="000000"/>
                <w:sz w:val="24"/>
              </w:rPr>
              <w:t>12</w:t>
            </w:r>
          </w:p>
        </w:tc>
        <w:tc>
          <w:tcPr>
            <w:tcW w:type="dxa" w:w="2296"/>
            <w:vAlign w:val="center"/>
          </w:tcPr>
          <w:p>
            <w:pPr>
              <w:spacing w:line="240" w:lineRule="auto" w:before="0" w:after="0"/>
              <w:ind w:firstLine="0"/>
            </w:pPr>
            <w:r>
              <w:rPr>
                <w:rFonts w:ascii="Times New Roman" w:hAnsi="Times New Roman" w:eastAsia="宋体"/>
                <w:b w:val="0"/>
                <w:color w:val="000000"/>
                <w:sz w:val="24"/>
              </w:rPr>
              <w:t>48</w:t>
            </w:r>
          </w:p>
        </w:tc>
      </w:tr>
      <w:tr>
        <w:trPr>
          <w:cantSplit/>
        </w:trPr>
        <w:tc>
          <w:tcPr>
            <w:tcW w:type="dxa" w:w="2296"/>
            <w:vAlign w:val="center"/>
          </w:tcPr>
          <w:p>
            <w:pPr>
              <w:spacing w:line="240" w:lineRule="auto" w:before="0" w:after="0"/>
              <w:ind w:firstLine="0"/>
            </w:pPr>
            <w:r>
              <w:rPr>
                <w:rFonts w:ascii="Times New Roman" w:hAnsi="Times New Roman" w:eastAsia="宋体"/>
                <w:b w:val="0"/>
                <w:color w:val="000000"/>
                <w:sz w:val="24"/>
              </w:rPr>
              <w:t>同日探索</w:t>
            </w:r>
          </w:p>
        </w:tc>
        <w:tc>
          <w:tcPr>
            <w:tcW w:type="dxa" w:w="2296"/>
            <w:vAlign w:val="center"/>
          </w:tcPr>
          <w:p>
            <w:pPr>
              <w:spacing w:line="240" w:lineRule="auto" w:before="0" w:after="0"/>
              <w:ind w:firstLine="0"/>
            </w:pPr>
            <w:r>
              <w:rPr>
                <w:rFonts w:ascii="Times New Roman" w:hAnsi="Times New Roman" w:eastAsia="宋体"/>
                <w:b w:val="0"/>
                <w:color w:val="000000"/>
                <w:sz w:val="24"/>
              </w:rPr>
              <w:t>10月17日15:55—16:15</w:t>
            </w:r>
          </w:p>
        </w:tc>
        <w:tc>
          <w:tcPr>
            <w:tcW w:type="dxa" w:w="2296"/>
            <w:vAlign w:val="center"/>
          </w:tcPr>
          <w:p>
            <w:pPr>
              <w:spacing w:line="240" w:lineRule="auto" w:before="0" w:after="0"/>
              <w:ind w:firstLine="0"/>
            </w:pPr>
            <w:r>
              <w:rPr>
                <w:rFonts w:ascii="Times New Roman" w:hAnsi="Times New Roman" w:eastAsia="宋体"/>
                <w:b w:val="0"/>
                <w:color w:val="000000"/>
                <w:sz w:val="24"/>
              </w:rPr>
              <w:t>4</w:t>
            </w:r>
          </w:p>
        </w:tc>
        <w:tc>
          <w:tcPr>
            <w:tcW w:type="dxa" w:w="2296"/>
            <w:vAlign w:val="center"/>
          </w:tcPr>
          <w:p>
            <w:pPr>
              <w:spacing w:line="240" w:lineRule="auto" w:before="0" w:after="0"/>
              <w:ind w:firstLine="0"/>
            </w:pPr>
            <w:r>
              <w:rPr>
                <w:rFonts w:ascii="Times New Roman" w:hAnsi="Times New Roman" w:eastAsia="宋体"/>
                <w:b w:val="0"/>
                <w:color w:val="000000"/>
                <w:sz w:val="24"/>
              </w:rPr>
              <w:t>16</w:t>
            </w:r>
          </w:p>
        </w:tc>
      </w:tr>
      <w:tr>
        <w:trPr>
          <w:cantSplit/>
        </w:trPr>
        <w:tc>
          <w:tcPr>
            <w:tcW w:type="dxa" w:w="2296"/>
            <w:vAlign w:val="center"/>
          </w:tcPr>
          <w:p>
            <w:pPr>
              <w:spacing w:line="240" w:lineRule="auto" w:before="0" w:after="0"/>
              <w:ind w:firstLine="0"/>
            </w:pPr>
            <w:r>
              <w:rPr>
                <w:rFonts w:ascii="Times New Roman" w:hAnsi="Times New Roman" w:eastAsia="宋体"/>
                <w:b w:val="0"/>
                <w:color w:val="000000"/>
                <w:sz w:val="24"/>
              </w:rPr>
              <w:t>跨日留出</w:t>
            </w:r>
          </w:p>
        </w:tc>
        <w:tc>
          <w:tcPr>
            <w:tcW w:type="dxa" w:w="2296"/>
            <w:vAlign w:val="center"/>
          </w:tcPr>
          <w:p>
            <w:pPr>
              <w:spacing w:line="240" w:lineRule="auto" w:before="0" w:after="0"/>
              <w:ind w:firstLine="0"/>
            </w:pPr>
            <w:r>
              <w:rPr>
                <w:rFonts w:ascii="Times New Roman" w:hAnsi="Times New Roman" w:eastAsia="宋体"/>
                <w:b w:val="0"/>
                <w:color w:val="000000"/>
                <w:sz w:val="24"/>
              </w:rPr>
              <w:t>10月18日11:36—13:36</w:t>
            </w:r>
          </w:p>
        </w:tc>
        <w:tc>
          <w:tcPr>
            <w:tcW w:type="dxa" w:w="2296"/>
            <w:vAlign w:val="center"/>
          </w:tcPr>
          <w:p>
            <w:pPr>
              <w:spacing w:line="240" w:lineRule="auto" w:before="0" w:after="0"/>
              <w:ind w:firstLine="0"/>
            </w:pPr>
            <w:r>
              <w:rPr>
                <w:rFonts w:ascii="Times New Roman" w:hAnsi="Times New Roman" w:eastAsia="宋体"/>
                <w:b w:val="0"/>
                <w:color w:val="000000"/>
                <w:sz w:val="24"/>
              </w:rPr>
              <w:t>24</w:t>
            </w:r>
          </w:p>
        </w:tc>
        <w:tc>
          <w:tcPr>
            <w:tcW w:type="dxa" w:w="2296"/>
            <w:vAlign w:val="center"/>
          </w:tcPr>
          <w:p>
            <w:pPr>
              <w:spacing w:line="240" w:lineRule="auto" w:before="0" w:after="0"/>
              <w:ind w:firstLine="0"/>
            </w:pPr>
            <w:r>
              <w:rPr>
                <w:rFonts w:ascii="Times New Roman" w:hAnsi="Times New Roman" w:eastAsia="宋体"/>
                <w:b w:val="0"/>
                <w:color w:val="000000"/>
                <w:sz w:val="24"/>
              </w:rPr>
              <w:t>96</w:t>
            </w:r>
          </w:p>
        </w:tc>
      </w:tr>
    </w:tbl>
    <w:p>
      <w:pPr>
        <w:spacing w:after="0"/>
      </w:pPr>
    </w:p>
    <w:p>
      <w:r>
        <w:rPr>
          <w:rFonts w:ascii="Times New Roman" w:hAnsi="Times New Roman" w:eastAsia="宋体"/>
          <w:b w:val="0"/>
          <w:color w:val="000000"/>
          <w:sz w:val="24"/>
        </w:rPr>
        <w:t>全部160条样本的源观测时刻字段均缺失；有效样本中未发现路径变化、缺ETA或越界，接口失败数为0。请求记录对应17日14:57起至16:13止以及18日11:36起至13:34止的多种接口访问；路线最后一轮早于各会话最后路况请求。分区边界定义评价窗口，不等于每个边界瞬间都有采样。</w:t>
      </w:r>
    </w:p>
    <w:p>
      <w:r>
        <w:rPr>
          <w:rFonts w:ascii="Times New Roman" w:hAnsi="Times New Roman" w:eastAsia="宋体"/>
          <w:b w:val="0"/>
          <w:color w:val="000000"/>
          <w:sz w:val="24"/>
        </w:rPr>
        <w:t>原计划17日另留30分钟未完整采齐，故只把已有20分钟标为探索；18日两小时单独评估。最终分区协议是在两个日期数据已经采集后整理冻结，不是事前注册实验。拟合和模型选择均不读取留出结果，但这一设计仍存在回顾性研究局限。</w:t>
      </w:r>
    </w:p>
    <w:p>
      <w:r>
        <w:rPr>
          <w:rFonts w:ascii="Times New Roman" w:hAnsi="Times New Roman" w:eastAsia="宋体"/>
          <w:b w:val="0"/>
          <w:color w:val="000000"/>
          <w:sz w:val="24"/>
        </w:rPr>
        <w:t>处理以OD和全局五分钟时间桶为键，保留首次成功记录；重复请求保留用于审计而不增加有效样本。原始几何改变、失败、缺少ETA和跨越分区边界等情形单列原因，不用后到样本选择性替换。2026年10月18日的独立采集不能补齐17日缺失时间桶。两个日期均属于周末样本，不能据此宣称覆盖工作日早晚高峰。</w:t>
      </w:r>
    </w:p>
    <w:p>
      <w:r>
        <w:rPr>
          <w:rFonts w:ascii="Times New Roman" w:hAnsi="Times New Roman" w:eastAsia="宋体"/>
          <w:b w:val="0"/>
          <w:color w:val="000000"/>
          <w:sz w:val="24"/>
        </w:rPr>
        <w:t>以请求时间t_q与接收时间t_r记录每个快照可核查的时间范围。平台内部状态生成时刻缺失时，仅能给出采集时效，不能断言数据在t_q瞬间被真实测量。对给定回放时刻t，仅允许使用当时已完成接收的记录；过期状态与未知状态分别显示。平台公开的更新能力不替代本批响应自身的时间戳证据。</w:t>
      </w:r>
    </w:p>
    <w:p>
      <w:pPr>
        <w:pStyle w:val="Heading2"/>
        <w:spacing w:before="120" w:after="120"/>
        <w:ind w:firstLine="0"/>
      </w:pPr>
      <w:r>
        <w:rPr>
          <w:rFonts w:ascii="Times New Roman" w:hAnsi="Times New Roman" w:eastAsia="宋体"/>
          <w:b/>
          <w:color w:val="000000"/>
          <w:sz w:val="24"/>
        </w:rPr>
        <w:t>2.3 来源完整性与异常处理</w:t>
      </w:r>
    </w:p>
    <w:p>
      <w:r>
        <w:rPr>
          <w:rFonts w:ascii="Times New Roman" w:hAnsi="Times New Roman" w:eastAsia="宋体"/>
          <w:b w:val="0"/>
          <w:color w:val="000000"/>
          <w:sz w:val="24"/>
        </w:rPr>
        <w:t>每个原始响应、处理后目录和实验配置记录SHA-256。数据进入建网前须通过坐标有效性、范围、同源几何一致性和路径简单性检查。整体路线含循环或调头时，不作为默认或治理完整行程；其中实际出现的同向道路和连续转向可保留为拓扑证据。把“调查路线”“候选路径”“需求OD”分成三个实体，避免每增加一条备选路线便增加一组车辆需求。</w:t>
      </w:r>
    </w:p>
    <w:p>
      <w:r>
        <w:rPr>
          <w:rFonts w:ascii="Times New Roman" w:hAnsi="Times New Roman" w:eastAsia="宋体"/>
          <w:b w:val="0"/>
          <w:color w:val="000000"/>
          <w:sz w:val="24"/>
        </w:rPr>
        <w:t>本节的数据处理代码和质量汇总由AI辅助实现，结果取自留档文件；原始接口快照不由AI生成。所有密钥、签名与账户配置均从论文、日志展示和支撑包排除。</w:t>
      </w:r>
    </w:p>
    <w:p>
      <w:pPr>
        <w:pStyle w:val="Heading1"/>
        <w:spacing w:before="200" w:after="120"/>
        <w:ind w:firstLine="0"/>
        <w:jc w:val="center"/>
      </w:pPr>
      <w:r>
        <w:rPr>
          <w:rFonts w:ascii="Times New Roman" w:hAnsi="Times New Roman" w:eastAsia="黑体"/>
          <w:b/>
          <w:color w:val="000000"/>
          <w:sz w:val="28"/>
        </w:rPr>
        <w:t>3 GIS平行空间与数字孪生封装</w:t>
      </w:r>
    </w:p>
    <w:p>
      <w:pPr>
        <w:pStyle w:val="Heading2"/>
        <w:spacing w:before="120" w:after="120"/>
        <w:ind w:firstLine="0"/>
      </w:pPr>
      <w:r>
        <w:rPr>
          <w:rFonts w:ascii="Times New Roman" w:hAnsi="Times New Roman" w:eastAsia="宋体"/>
          <w:b/>
          <w:color w:val="000000"/>
          <w:sz w:val="24"/>
        </w:rPr>
        <w:t>3.1 方向图及空间对应</w:t>
      </w:r>
    </w:p>
    <w:p>
      <w:r>
        <w:rPr>
          <w:rFonts w:ascii="Times New Roman" w:hAnsi="Times New Roman" w:eastAsia="宋体"/>
          <w:b w:val="0"/>
          <w:color w:val="000000"/>
          <w:sz w:val="24"/>
        </w:rPr>
        <w:t>令G=(V,E,C)，V为折线端点，E为有向几何分段，C为明确出现过的相邻边转向关系。方向是边标识的一部分：同一道路的逆向通行不能由正向折线推导，平面相交也不自动产生转向。输入坐标保留六位小数，同坐标、同方向的分段才共享标识；对于端点落在另一折线内部等采样差异，先保留异常证据，不依靠任意吸附距离补接路网。</w:t>
      </w:r>
    </w:p>
    <w:p>
      <w:r>
        <w:rPr>
          <w:rFonts w:ascii="Times New Roman" w:hAnsi="Times New Roman" w:eastAsia="宋体"/>
          <w:b w:val="0"/>
          <w:color w:val="000000"/>
          <w:sz w:val="24"/>
        </w:rPr>
        <w:t>街区采用以研究区中心(λ₀,φ₀)为原点的局部等距近似，角度以弧度代入：</w:t>
      </w:r>
    </w:p>
    <w:p>
      <w:pPr>
        <w:ind w:firstLine="0"/>
        <w:jc w:val="center"/>
      </w:pPr>
      <w:r>
        <w:rPr>
          <w:rFonts w:ascii="Times New Roman" w:hAnsi="Times New Roman" w:eastAsia="宋体"/>
          <w:b w:val="0"/>
          <w:color w:val="000000"/>
          <w:sz w:val="24"/>
        </w:rPr>
        <w:t>x = R cosφ₀(λ−λ₀)，y = R(φ−φ₀)。 （1）</w:t>
      </w:r>
    </w:p>
    <w:p>
      <w:r>
        <w:rPr>
          <w:rFonts w:ascii="Times New Roman" w:hAnsi="Times New Roman" w:eastAsia="宋体"/>
          <w:b w:val="0"/>
          <w:color w:val="000000"/>
          <w:sz w:val="24"/>
        </w:rPr>
        <w:t>式中R为平均地球半径，x、y单位为米。该转换用于小区域内的工程绘图与长度计算；BD09是平台坐标体系，本文没有将其冒充WGS84测绘坐标。分段长度为相邻投影点的欧氏距离之和，另与同源平台路线距离交叉检查；一致性检查只能发现明显几何问题，不能提供独立测绘精度证明。</w:t>
      </w:r>
    </w:p>
    <w:p>
      <w:r>
        <w:rPr>
          <w:rFonts w:ascii="Times New Roman" w:hAnsi="Times New Roman" w:eastAsia="宋体"/>
          <w:b w:val="0"/>
          <w:color w:val="000000"/>
          <w:sz w:val="24"/>
        </w:rPr>
        <w:t>最终目录包含307个外部有向分段、312个有来源转向，其中2个显式调头不参与策略搜索，仿真允许310个外部转向。几何分段和节点多为折线离散点，不能把这些数量解释为307条真实道路或对应数量的交叉口。完整策略候选共8条，需求OD固定为6组。</w:t>
      </w:r>
    </w:p>
    <w:p>
      <w:pPr>
        <w:pStyle w:val="Heading2"/>
        <w:spacing w:before="120" w:after="120"/>
        <w:ind w:firstLine="0"/>
      </w:pPr>
      <w:r>
        <w:rPr>
          <w:rFonts w:ascii="Times New Roman" w:hAnsi="Times New Roman" w:eastAsia="宋体"/>
          <w:b/>
          <w:color w:val="000000"/>
          <w:sz w:val="24"/>
        </w:rPr>
        <w:t>3.2 可行路径、关键通道与动作空间</w:t>
      </w:r>
    </w:p>
    <w:p>
      <w:r>
        <w:rPr>
          <w:rFonts w:ascii="Times New Roman" w:hAnsi="Times New Roman" w:eastAsia="宋体"/>
          <w:b w:val="0"/>
          <w:color w:val="000000"/>
          <w:sz w:val="24"/>
        </w:rPr>
        <w:t>路径P=(e₁,…,e_m)必须满足(e_j,e_{j+1})∈C，且不得重复节点或有向边。路径审计固定原首末边，以基准路径为第一条，逐一禁止其起点、终点或中间转向并运行广度优先搜索。若找不到第二条简单路径，可证当前图内唯一；发现两条即停止，计数写为“至少2条”，不声称完成全部枚举。</w:t>
      </w:r>
    </w:p>
    <w:p>
      <w:r>
        <w:rPr>
          <w:rFonts w:ascii="Times New Roman" w:hAnsi="Times New Roman" w:eastAsia="宋体"/>
          <w:b w:val="0"/>
          <w:color w:val="000000"/>
          <w:sz w:val="24"/>
        </w:rPr>
        <w:t>某边e对OD k是否必经，由删除该边后可达性判定，而不是仅取已展示两条路径的交集。补核前，六条自然路线固定首末边时均唯一；加入真实路线转向证据后，西至东、西至医院外围接驳点具有可执行备选。医院两方向共同必经瑞金二路末端18个分段、约292米，当前子图内无法绕开；若该段完全阻断，应报告不可达，若只是限速则仍承担通行代价，不为呈现策略效果构造不存在的旁路。</w:t>
      </w:r>
    </w:p>
    <w:p>
      <w:r>
        <w:rPr>
          <w:rFonts w:ascii="Times New Roman" w:hAnsi="Times New Roman" w:eastAsia="宋体"/>
          <w:b w:val="0"/>
          <w:color w:val="000000"/>
          <w:sz w:val="24"/>
        </w:rPr>
        <w:t>西侧医院默认路径外部几何约856.4米，备选约1573.5米。新接口查询给出的同期ETA分别为433秒与690秒，说明绕行在该次正常条件下更慢。慢行试验选择默认独有、备选避开的连续瑞金二路上游六段，总长约68.735米；选择理由是两条真实可行路径存在差异，而不是事后寻找正收益。</w:t>
      </w:r>
    </w:p>
    <w:p>
      <w:pPr>
        <w:keepNext/>
        <w:ind w:firstLine="0"/>
      </w:pPr>
      <w:r>
        <w:drawing>
          <wp:inline xmlns:a="http://schemas.openxmlformats.org/drawingml/2006/main" xmlns:pic="http://schemas.openxmlformats.org/drawingml/2006/picture">
            <wp:extent cx="5724000" cy="4114125"/>
            <wp:docPr id="1" name="Picture 1"/>
            <wp:cNvGraphicFramePr>
              <a:graphicFrameLocks noChangeAspect="1"/>
            </wp:cNvGraphicFramePr>
            <a:graphic>
              <a:graphicData uri="http://schemas.openxmlformats.org/drawingml/2006/picture">
                <pic:pic>
                  <pic:nvPicPr>
                    <pic:cNvPr id="0" name="network.png"/>
                    <pic:cNvPicPr/>
                  </pic:nvPicPr>
                  <pic:blipFill>
                    <a:blip r:embed="rId10"/>
                    <a:stretch>
                      <a:fillRect/>
                    </a:stretch>
                  </pic:blipFill>
                  <pic:spPr>
                    <a:xfrm>
                      <a:off x="0" y="0"/>
                      <a:ext cx="5724000" cy="4114125"/>
                    </a:xfrm>
                    <a:prstGeom prst="rect"/>
                  </pic:spPr>
                </pic:pic>
              </a:graphicData>
            </a:graphic>
          </wp:inline>
        </w:drawing>
      </w:r>
    </w:p>
    <w:p>
      <w:pPr>
        <w:ind w:firstLine="0"/>
        <w:jc w:val="center"/>
      </w:pPr>
      <w:r>
        <w:rPr>
          <w:rFonts w:ascii="Times New Roman" w:hAnsi="Times New Roman" w:eastAsia="宋体"/>
          <w:b w:val="0"/>
          <w:color w:val="000000"/>
          <w:sz w:val="24"/>
        </w:rPr>
        <w:t>图1 AI辅助绘制实际GIS子图、西侧任务路线与假设事件段；箭头依据源路线方向。</w:t>
      </w:r>
    </w:p>
    <w:p>
      <w:pPr>
        <w:pStyle w:val="Heading2"/>
        <w:spacing w:before="120" w:after="120"/>
        <w:ind w:firstLine="0"/>
      </w:pPr>
      <w:r>
        <w:rPr>
          <w:rFonts w:ascii="Times New Roman" w:hAnsi="Times New Roman" w:eastAsia="宋体"/>
          <w:b/>
          <w:color w:val="000000"/>
          <w:sz w:val="24"/>
        </w:rPr>
        <w:t>3.3 孪生对象与更新机制</w:t>
      </w:r>
    </w:p>
    <w:p>
      <w:r>
        <w:rPr>
          <w:rFonts w:ascii="Times New Roman" w:hAnsi="Times New Roman" w:eastAsia="宋体"/>
          <w:b w:val="0"/>
          <w:color w:val="000000"/>
          <w:sz w:val="24"/>
        </w:rPr>
        <w:t>道路对象保存坐标、方向、允许转向与来源；车辆对象保存编号、位置、速度、目的地、路线及释放时间；任务对象增加发布时刻、接驳目标与完成状态；控制对象保存已发布事件、可执行动作及等待上限。统一状态可写为：</w:t>
      </w:r>
    </w:p>
    <w:p>
      <w:pPr>
        <w:ind w:firstLine="0"/>
        <w:jc w:val="center"/>
      </w:pPr>
      <w:r>
        <w:rPr>
          <w:rFonts w:ascii="Times New Roman" w:hAnsi="Times New Roman" w:eastAsia="宋体"/>
          <w:b w:val="0"/>
          <w:color w:val="000000"/>
          <w:sz w:val="24"/>
        </w:rPr>
        <w:t>S(t+Δt) = F(S(t), I≤t, U(t), θ)，O(t)=H(S(t))。 （2）</w:t>
      </w:r>
    </w:p>
    <w:p>
      <w:r>
        <w:rPr>
          <w:rFonts w:ascii="Times New Roman" w:hAnsi="Times New Roman" w:eastAsia="宋体"/>
          <w:b w:val="0"/>
          <w:color w:val="000000"/>
          <w:sz w:val="24"/>
        </w:rPr>
        <w:t>I≤t表示截至当前时刻可知的数据，U为治理动作，θ为公开模型参数，H为从微观状态到路线时间和系统指标的观测算子。该写法约束数据、仿真和决策的接口：先校验与更新状态，再执行当前可知动作，最后保存输出；未来任务和事件结束后的信息不进入早先决策。</w:t>
      </w:r>
    </w:p>
    <w:p>
      <w:r>
        <w:rPr>
          <w:rFonts w:ascii="Times New Roman" w:hAnsi="Times New Roman" w:eastAsia="宋体"/>
          <w:b w:val="0"/>
          <w:color w:val="000000"/>
          <w:sz w:val="24"/>
        </w:rPr>
        <w:t>封装按“原始响应—标准化样本—方向图/路线目录—固定需求—仿真控制—指标/回放”顺序执行，各层输入输出及摘要独立保存。地图快照展示真实接口状态；FCD回放展示实际仿真位置；两者通过路线标识和时间元数据关联，而不把仿真车辆伪装成平台观测车辆。</w:t>
      </w:r>
    </w:p>
    <w:p>
      <w:pPr>
        <w:pStyle w:val="Heading1"/>
        <w:spacing w:before="200" w:after="120"/>
        <w:ind w:firstLine="0"/>
        <w:jc w:val="center"/>
      </w:pPr>
      <w:r>
        <w:rPr>
          <w:rFonts w:ascii="Times New Roman" w:hAnsi="Times New Roman" w:eastAsia="黑体"/>
          <w:b/>
          <w:color w:val="000000"/>
          <w:sz w:val="28"/>
        </w:rPr>
        <w:t>4 情景一：微观基准与观测层验证</w:t>
      </w:r>
    </w:p>
    <w:p>
      <w:pPr>
        <w:pStyle w:val="Heading2"/>
        <w:spacing w:before="120" w:after="120"/>
        <w:ind w:firstLine="0"/>
      </w:pPr>
      <w:r>
        <w:rPr>
          <w:rFonts w:ascii="Times New Roman" w:hAnsi="Times New Roman" w:eastAsia="宋体"/>
          <w:b/>
          <w:color w:val="000000"/>
          <w:sz w:val="24"/>
        </w:rPr>
        <w:t>4.1 基准模型与物理检查</w:t>
      </w:r>
    </w:p>
    <w:p>
      <w:r>
        <w:rPr>
          <w:rFonts w:ascii="Times New Roman" w:hAnsi="Times New Roman" w:eastAsia="宋体"/>
          <w:b w:val="0"/>
          <w:color w:val="000000"/>
          <w:sz w:val="24"/>
        </w:rPr>
        <w:t>仿真采用Eclipse SUMO 1.28.0。SUMO是一种微观、空间连续、时间离散的交通仿真器[4]。本研究将已观测外部方向图转换为SUMO路网，允许显式内部路口连接，并采用priority让行规则；这些优先权是建模假设，不是对实际街区信号灯或道路优先权的识别。</w:t>
      </w:r>
    </w:p>
    <w:p>
      <w:r>
        <w:rPr>
          <w:rFonts w:ascii="Times New Roman" w:hAnsi="Times New Roman" w:eastAsia="宋体"/>
          <w:b w:val="0"/>
          <w:color w:val="000000"/>
          <w:sz w:val="24"/>
        </w:rPr>
        <w:t>车辆采用SUMO的Krauss跟驰实现。其速度更新受期望速度、加速度和前车安全约束共同限制[5]。为阐明模型作用，可概括为v(t+Δt)不超过当前限速、可加速上界及跟驰安全速度；安全速度由仿真器实现，本文没有用一个未经验证的简化公式替代其完整实现。</w:t>
      </w:r>
    </w:p>
    <w:tbl>
      <w:tblPr>
        <w:tblStyle w:val="TableGrid"/>
        <w:tblW w:type="auto" w:w="0"/>
        <w:jc w:val="center"/>
        <w:tblLook w:firstColumn="1" w:firstRow="1" w:lastColumn="0" w:lastRow="0" w:noHBand="0" w:noVBand="1" w:val="04A0"/>
      </w:tblPr>
      <w:tblGrid>
        <w:gridCol w:w="3061"/>
        <w:gridCol w:w="3061"/>
        <w:gridCol w:w="3061"/>
      </w:tblGrid>
      <w:tr>
        <w:trPr>
          <w:cantSplit/>
          <w:tblHeader/>
        </w:trPr>
        <w:tc>
          <w:tcPr>
            <w:tcW w:type="dxa" w:w="3061"/>
            <w:vAlign w:val="center"/>
          </w:tcPr>
          <w:p>
            <w:pPr>
              <w:spacing w:line="240" w:lineRule="auto" w:before="0" w:after="0"/>
              <w:ind w:firstLine="0"/>
            </w:pPr>
            <w:r>
              <w:rPr>
                <w:rFonts w:ascii="Times New Roman" w:hAnsi="Times New Roman" w:eastAsia="宋体"/>
                <w:b/>
                <w:color w:val="000000"/>
                <w:sz w:val="24"/>
              </w:rPr>
              <w:t>参数</w:t>
            </w:r>
          </w:p>
        </w:tc>
        <w:tc>
          <w:tcPr>
            <w:tcW w:type="dxa" w:w="3061"/>
            <w:vAlign w:val="center"/>
          </w:tcPr>
          <w:p>
            <w:pPr>
              <w:spacing w:line="240" w:lineRule="auto" w:before="0" w:after="0"/>
              <w:ind w:firstLine="0"/>
            </w:pPr>
            <w:r>
              <w:rPr>
                <w:rFonts w:ascii="Times New Roman" w:hAnsi="Times New Roman" w:eastAsia="宋体"/>
                <w:b/>
                <w:color w:val="000000"/>
                <w:sz w:val="24"/>
              </w:rPr>
              <w:t>本文取值</w:t>
            </w:r>
          </w:p>
        </w:tc>
        <w:tc>
          <w:tcPr>
            <w:tcW w:type="dxa" w:w="3061"/>
            <w:vAlign w:val="center"/>
          </w:tcPr>
          <w:p>
            <w:pPr>
              <w:spacing w:line="240" w:lineRule="auto" w:before="0" w:after="0"/>
              <w:ind w:firstLine="0"/>
            </w:pPr>
            <w:r>
              <w:rPr>
                <w:rFonts w:ascii="Times New Roman" w:hAnsi="Times New Roman" w:eastAsia="宋体"/>
                <w:b/>
                <w:color w:val="000000"/>
                <w:sz w:val="24"/>
              </w:rPr>
              <w:t>解释</w:t>
            </w:r>
          </w:p>
        </w:tc>
      </w:tr>
      <w:tr>
        <w:trPr>
          <w:cantSplit/>
        </w:trPr>
        <w:tc>
          <w:tcPr>
            <w:tcW w:type="dxa" w:w="3061"/>
            <w:vAlign w:val="center"/>
          </w:tcPr>
          <w:p>
            <w:pPr>
              <w:spacing w:line="240" w:lineRule="auto" w:before="0" w:after="0"/>
              <w:ind w:firstLine="0"/>
            </w:pPr>
            <w:r>
              <w:rPr>
                <w:rFonts w:ascii="Times New Roman" w:hAnsi="Times New Roman" w:eastAsia="宋体"/>
                <w:b w:val="0"/>
                <w:color w:val="000000"/>
                <w:sz w:val="24"/>
              </w:rPr>
              <w:t>外部单向车道数、基础限速</w:t>
            </w:r>
          </w:p>
        </w:tc>
        <w:tc>
          <w:tcPr>
            <w:tcW w:type="dxa" w:w="3061"/>
            <w:vAlign w:val="center"/>
          </w:tcPr>
          <w:p>
            <w:pPr>
              <w:spacing w:line="240" w:lineRule="auto" w:before="0" w:after="0"/>
              <w:ind w:firstLine="0"/>
            </w:pPr>
            <w:r>
              <w:rPr>
                <w:rFonts w:ascii="Times New Roman" w:hAnsi="Times New Roman" w:eastAsia="宋体"/>
                <w:b w:val="0"/>
                <w:color w:val="000000"/>
                <w:sz w:val="24"/>
              </w:rPr>
              <w:t>1条；30 km/h</w:t>
            </w:r>
          </w:p>
        </w:tc>
        <w:tc>
          <w:tcPr>
            <w:tcW w:type="dxa" w:w="3061"/>
            <w:vAlign w:val="center"/>
          </w:tcPr>
          <w:p>
            <w:pPr>
              <w:spacing w:line="240" w:lineRule="auto" w:before="0" w:after="0"/>
              <w:ind w:firstLine="0"/>
            </w:pPr>
            <w:r>
              <w:rPr>
                <w:rFonts w:ascii="Times New Roman" w:hAnsi="Times New Roman" w:eastAsia="宋体"/>
                <w:b w:val="0"/>
                <w:color w:val="000000"/>
                <w:sz w:val="24"/>
              </w:rPr>
              <w:t>工程假设，不是现场测量</w:t>
            </w:r>
          </w:p>
        </w:tc>
      </w:tr>
      <w:tr>
        <w:trPr>
          <w:cantSplit/>
        </w:trPr>
        <w:tc>
          <w:tcPr>
            <w:tcW w:type="dxa" w:w="3061"/>
            <w:vAlign w:val="center"/>
          </w:tcPr>
          <w:p>
            <w:pPr>
              <w:spacing w:line="240" w:lineRule="auto" w:before="0" w:after="0"/>
              <w:ind w:firstLine="0"/>
            </w:pPr>
            <w:r>
              <w:rPr>
                <w:rFonts w:ascii="Times New Roman" w:hAnsi="Times New Roman" w:eastAsia="宋体"/>
                <w:b w:val="0"/>
                <w:color w:val="000000"/>
                <w:sz w:val="24"/>
              </w:rPr>
              <w:t>车长、最小车距</w:t>
            </w:r>
          </w:p>
        </w:tc>
        <w:tc>
          <w:tcPr>
            <w:tcW w:type="dxa" w:w="3061"/>
            <w:vAlign w:val="center"/>
          </w:tcPr>
          <w:p>
            <w:pPr>
              <w:spacing w:line="240" w:lineRule="auto" w:before="0" w:after="0"/>
              <w:ind w:firstLine="0"/>
            </w:pPr>
            <w:r>
              <w:rPr>
                <w:rFonts w:ascii="Times New Roman" w:hAnsi="Times New Roman" w:eastAsia="宋体"/>
                <w:b w:val="0"/>
                <w:color w:val="000000"/>
                <w:sz w:val="24"/>
              </w:rPr>
              <w:t>5 m；2.5 m</w:t>
            </w:r>
          </w:p>
        </w:tc>
        <w:tc>
          <w:tcPr>
            <w:tcW w:type="dxa" w:w="3061"/>
            <w:vAlign w:val="center"/>
          </w:tcPr>
          <w:p>
            <w:pPr>
              <w:spacing w:line="240" w:lineRule="auto" w:before="0" w:after="0"/>
              <w:ind w:firstLine="0"/>
            </w:pPr>
            <w:r>
              <w:rPr>
                <w:rFonts w:ascii="Times New Roman" w:hAnsi="Times New Roman" w:eastAsia="宋体"/>
                <w:b w:val="0"/>
                <w:color w:val="000000"/>
                <w:sz w:val="24"/>
              </w:rPr>
              <w:t>所有普通车与任务车相同</w:t>
            </w:r>
          </w:p>
        </w:tc>
      </w:tr>
      <w:tr>
        <w:trPr>
          <w:cantSplit/>
        </w:trPr>
        <w:tc>
          <w:tcPr>
            <w:tcW w:type="dxa" w:w="3061"/>
            <w:vAlign w:val="center"/>
          </w:tcPr>
          <w:p>
            <w:pPr>
              <w:spacing w:line="240" w:lineRule="auto" w:before="0" w:after="0"/>
              <w:ind w:firstLine="0"/>
            </w:pPr>
            <w:r>
              <w:rPr>
                <w:rFonts w:ascii="Times New Roman" w:hAnsi="Times New Roman" w:eastAsia="宋体"/>
                <w:b w:val="0"/>
                <w:color w:val="000000"/>
                <w:sz w:val="24"/>
              </w:rPr>
              <w:t>最大加速度、正常减速度</w:t>
            </w:r>
          </w:p>
        </w:tc>
        <w:tc>
          <w:tcPr>
            <w:tcW w:type="dxa" w:w="3061"/>
            <w:vAlign w:val="center"/>
          </w:tcPr>
          <w:p>
            <w:pPr>
              <w:spacing w:line="240" w:lineRule="auto" w:before="0" w:after="0"/>
              <w:ind w:firstLine="0"/>
            </w:pPr>
            <w:r>
              <w:rPr>
                <w:rFonts w:ascii="Times New Roman" w:hAnsi="Times New Roman" w:eastAsia="宋体"/>
                <w:b w:val="0"/>
                <w:color w:val="000000"/>
                <w:sz w:val="24"/>
              </w:rPr>
              <w:t>2.6；4.5 m/s²</w:t>
            </w:r>
          </w:p>
        </w:tc>
        <w:tc>
          <w:tcPr>
            <w:tcW w:type="dxa" w:w="3061"/>
            <w:vAlign w:val="center"/>
          </w:tcPr>
          <w:p>
            <w:pPr>
              <w:spacing w:line="240" w:lineRule="auto" w:before="0" w:after="0"/>
              <w:ind w:firstLine="0"/>
            </w:pPr>
            <w:r>
              <w:rPr>
                <w:rFonts w:ascii="Times New Roman" w:hAnsi="Times New Roman" w:eastAsia="宋体"/>
                <w:b w:val="0"/>
                <w:color w:val="000000"/>
                <w:sz w:val="24"/>
              </w:rPr>
              <w:t>同一车辆类型</w:t>
            </w:r>
          </w:p>
        </w:tc>
      </w:tr>
      <w:tr>
        <w:trPr>
          <w:cantSplit/>
        </w:trPr>
        <w:tc>
          <w:tcPr>
            <w:tcW w:type="dxa" w:w="3061"/>
            <w:vAlign w:val="center"/>
          </w:tcPr>
          <w:p>
            <w:pPr>
              <w:spacing w:line="240" w:lineRule="auto" w:before="0" w:after="0"/>
              <w:ind w:firstLine="0"/>
            </w:pPr>
            <w:r>
              <w:rPr>
                <w:rFonts w:ascii="Times New Roman" w:hAnsi="Times New Roman" w:eastAsia="宋体"/>
                <w:b w:val="0"/>
                <w:color w:val="000000"/>
                <w:sz w:val="24"/>
              </w:rPr>
              <w:t>期望时间间距、随机扰动</w:t>
            </w:r>
          </w:p>
        </w:tc>
        <w:tc>
          <w:tcPr>
            <w:tcW w:type="dxa" w:w="3061"/>
            <w:vAlign w:val="center"/>
          </w:tcPr>
          <w:p>
            <w:pPr>
              <w:spacing w:line="240" w:lineRule="auto" w:before="0" w:after="0"/>
              <w:ind w:firstLine="0"/>
            </w:pPr>
            <w:r>
              <w:rPr>
                <w:rFonts w:ascii="Times New Roman" w:hAnsi="Times New Roman" w:eastAsia="宋体"/>
                <w:b w:val="0"/>
                <w:color w:val="000000"/>
                <w:sz w:val="24"/>
              </w:rPr>
              <w:t>1 s；0</w:t>
            </w:r>
          </w:p>
        </w:tc>
        <w:tc>
          <w:tcPr>
            <w:tcW w:type="dxa" w:w="3061"/>
            <w:vAlign w:val="center"/>
          </w:tcPr>
          <w:p>
            <w:pPr>
              <w:spacing w:line="240" w:lineRule="auto" w:before="0" w:after="0"/>
              <w:ind w:firstLine="0"/>
            </w:pPr>
            <w:r>
              <w:rPr>
                <w:rFonts w:ascii="Times New Roman" w:hAnsi="Times New Roman" w:eastAsia="宋体"/>
                <w:b w:val="0"/>
                <w:color w:val="000000"/>
                <w:sz w:val="24"/>
              </w:rPr>
              <w:t>不据此构造随机显著性</w:t>
            </w:r>
          </w:p>
        </w:tc>
      </w:tr>
      <w:tr>
        <w:trPr>
          <w:cantSplit/>
        </w:trPr>
        <w:tc>
          <w:tcPr>
            <w:tcW w:type="dxa" w:w="3061"/>
            <w:vAlign w:val="center"/>
          </w:tcPr>
          <w:p>
            <w:pPr>
              <w:spacing w:line="240" w:lineRule="auto" w:before="0" w:after="0"/>
              <w:ind w:firstLine="0"/>
            </w:pPr>
            <w:r>
              <w:rPr>
                <w:rFonts w:ascii="Times New Roman" w:hAnsi="Times New Roman" w:eastAsia="宋体"/>
                <w:b w:val="0"/>
                <w:color w:val="000000"/>
                <w:sz w:val="24"/>
              </w:rPr>
              <w:t>仿真步、轨迹输出步</w:t>
            </w:r>
          </w:p>
        </w:tc>
        <w:tc>
          <w:tcPr>
            <w:tcW w:type="dxa" w:w="3061"/>
            <w:vAlign w:val="center"/>
          </w:tcPr>
          <w:p>
            <w:pPr>
              <w:spacing w:line="240" w:lineRule="auto" w:before="0" w:after="0"/>
              <w:ind w:firstLine="0"/>
            </w:pPr>
            <w:r>
              <w:rPr>
                <w:rFonts w:ascii="Times New Roman" w:hAnsi="Times New Roman" w:eastAsia="宋体"/>
                <w:b w:val="0"/>
                <w:color w:val="000000"/>
                <w:sz w:val="24"/>
              </w:rPr>
              <w:t>1 s；5 s</w:t>
            </w:r>
          </w:p>
        </w:tc>
        <w:tc>
          <w:tcPr>
            <w:tcW w:type="dxa" w:w="3061"/>
            <w:vAlign w:val="center"/>
          </w:tcPr>
          <w:p>
            <w:pPr>
              <w:spacing w:line="240" w:lineRule="auto" w:before="0" w:after="0"/>
              <w:ind w:firstLine="0"/>
            </w:pPr>
            <w:r>
              <w:rPr>
                <w:rFonts w:ascii="Times New Roman" w:hAnsi="Times New Roman" w:eastAsia="宋体"/>
                <w:b w:val="0"/>
                <w:color w:val="000000"/>
                <w:sz w:val="24"/>
              </w:rPr>
              <w:t>数值推进与可视化采样分开</w:t>
            </w:r>
          </w:p>
        </w:tc>
      </w:tr>
      <w:tr>
        <w:trPr>
          <w:cantSplit/>
        </w:trPr>
        <w:tc>
          <w:tcPr>
            <w:tcW w:type="dxa" w:w="3061"/>
            <w:vAlign w:val="center"/>
          </w:tcPr>
          <w:p>
            <w:pPr>
              <w:spacing w:line="240" w:lineRule="auto" w:before="0" w:after="0"/>
              <w:ind w:firstLine="0"/>
            </w:pPr>
            <w:r>
              <w:rPr>
                <w:rFonts w:ascii="Times New Roman" w:hAnsi="Times New Roman" w:eastAsia="宋体"/>
                <w:b w:val="0"/>
                <w:color w:val="000000"/>
                <w:sz w:val="24"/>
              </w:rPr>
              <w:t>主需求、敏感性需求</w:t>
            </w:r>
          </w:p>
        </w:tc>
        <w:tc>
          <w:tcPr>
            <w:tcW w:type="dxa" w:w="3061"/>
            <w:vAlign w:val="center"/>
          </w:tcPr>
          <w:p>
            <w:pPr>
              <w:spacing w:line="240" w:lineRule="auto" w:before="0" w:after="0"/>
              <w:ind w:firstLine="0"/>
            </w:pPr>
            <w:r>
              <w:rPr>
                <w:rFonts w:ascii="Times New Roman" w:hAnsi="Times New Roman" w:eastAsia="宋体"/>
                <w:b w:val="0"/>
                <w:color w:val="000000"/>
                <w:sz w:val="24"/>
              </w:rPr>
              <w:t>六OD各30 s或15 s一辆</w:t>
            </w:r>
          </w:p>
        </w:tc>
        <w:tc>
          <w:tcPr>
            <w:tcW w:type="dxa" w:w="3061"/>
            <w:vAlign w:val="center"/>
          </w:tcPr>
          <w:p>
            <w:pPr>
              <w:spacing w:line="240" w:lineRule="auto" w:before="0" w:after="0"/>
              <w:ind w:firstLine="0"/>
            </w:pPr>
            <w:r>
              <w:rPr>
                <w:rFonts w:ascii="Times New Roman" w:hAnsi="Times New Roman" w:eastAsia="宋体"/>
                <w:b w:val="0"/>
                <w:color w:val="000000"/>
                <w:sz w:val="24"/>
              </w:rPr>
              <w:t>非实际OD流量反演</w:t>
            </w:r>
          </w:p>
        </w:tc>
      </w:tr>
      <w:tr>
        <w:trPr>
          <w:cantSplit/>
        </w:trPr>
        <w:tc>
          <w:tcPr>
            <w:tcW w:type="dxa" w:w="3061"/>
            <w:vAlign w:val="center"/>
          </w:tcPr>
          <w:p>
            <w:pPr>
              <w:spacing w:line="240" w:lineRule="auto" w:before="0" w:after="0"/>
              <w:ind w:firstLine="0"/>
            </w:pPr>
            <w:r>
              <w:rPr>
                <w:rFonts w:ascii="Times New Roman" w:hAnsi="Times New Roman" w:eastAsia="宋体"/>
                <w:b w:val="0"/>
                <w:color w:val="000000"/>
                <w:sz w:val="24"/>
              </w:rPr>
              <w:t>发车窗口、观察终点</w:t>
            </w:r>
          </w:p>
        </w:tc>
        <w:tc>
          <w:tcPr>
            <w:tcW w:type="dxa" w:w="3061"/>
            <w:vAlign w:val="center"/>
          </w:tcPr>
          <w:p>
            <w:pPr>
              <w:spacing w:line="240" w:lineRule="auto" w:before="0" w:after="0"/>
              <w:ind w:firstLine="0"/>
            </w:pPr>
            <w:r>
              <w:rPr>
                <w:rFonts w:ascii="Times New Roman" w:hAnsi="Times New Roman" w:eastAsia="宋体"/>
                <w:b w:val="0"/>
                <w:color w:val="000000"/>
                <w:sz w:val="24"/>
              </w:rPr>
              <w:t>前1200 s；1800 s</w:t>
            </w:r>
          </w:p>
        </w:tc>
        <w:tc>
          <w:tcPr>
            <w:tcW w:type="dxa" w:w="3061"/>
            <w:vAlign w:val="center"/>
          </w:tcPr>
          <w:p>
            <w:pPr>
              <w:spacing w:line="240" w:lineRule="auto" w:before="0" w:after="0"/>
              <w:ind w:firstLine="0"/>
            </w:pPr>
            <w:r>
              <w:rPr>
                <w:rFonts w:ascii="Times New Roman" w:hAnsi="Times New Roman" w:eastAsia="宋体"/>
                <w:b w:val="0"/>
                <w:color w:val="000000"/>
                <w:sz w:val="24"/>
              </w:rPr>
              <w:t>未完成车辆仍计入成本</w:t>
            </w:r>
          </w:p>
        </w:tc>
      </w:tr>
    </w:tbl>
    <w:p>
      <w:pPr>
        <w:spacing w:after="0"/>
      </w:pPr>
    </w:p>
    <w:p>
      <w:r>
        <w:rPr>
          <w:rFonts w:ascii="Times New Roman" w:hAnsi="Times New Roman" w:eastAsia="宋体"/>
          <w:b w:val="0"/>
          <w:color w:val="000000"/>
          <w:sz w:val="24"/>
        </w:rPr>
        <w:t>原始低层工程检查曾发现无让行汇流导致车辆重叠。修复后重新运行独立版本，并保留失败记录；每组须同时满足数量守恒、最终输出一致且碰撞、传送、丢弃计数为零。数量“全部到达”本身不能证明物理运行合格。运行检查同样不能替代真实交通有效性验证。</w:t>
      </w:r>
    </w:p>
    <w:p>
      <w:pPr>
        <w:pStyle w:val="Heading2"/>
        <w:spacing w:before="120" w:after="120"/>
        <w:ind w:firstLine="0"/>
      </w:pPr>
      <w:r>
        <w:rPr>
          <w:rFonts w:ascii="Times New Roman" w:hAnsi="Times New Roman" w:eastAsia="宋体"/>
          <w:b/>
          <w:color w:val="000000"/>
          <w:sz w:val="24"/>
        </w:rPr>
        <w:t>4.2 路线级观测算子与训练</w:t>
      </w:r>
    </w:p>
    <w:p>
      <w:r>
        <w:rPr>
          <w:rFonts w:ascii="Times New Roman" w:hAnsi="Times New Roman" w:eastAsia="宋体"/>
          <w:b w:val="0"/>
          <w:color w:val="000000"/>
          <w:sz w:val="24"/>
        </w:rPr>
        <w:t>四个持续观测OD的SUMO基准时间记为T_k，平台快照ETA记为y_kj。模型不具备实际车道、信号或逐车流量观测，故只在观测层拟合共享的非负仿射对应关系，而不声称已经识别道路容量、需求强度或信号参数：</w:t>
      </w:r>
    </w:p>
    <w:p>
      <w:pPr>
        <w:ind w:firstLine="0"/>
        <w:jc w:val="center"/>
      </w:pPr>
      <w:r>
        <w:rPr>
          <w:rFonts w:ascii="Times New Roman" w:hAnsi="Times New Roman" w:eastAsia="宋体"/>
          <w:b w:val="0"/>
          <w:color w:val="000000"/>
          <w:sz w:val="24"/>
        </w:rPr>
        <w:t>ŷ</w:t>
      </w:r>
      <w:r>
        <w:rPr>
          <w:rFonts w:ascii="Times New Roman" w:hAnsi="Times New Roman" w:eastAsia="宋体"/>
          <w:b w:val="0"/>
          <w:color w:val="000000"/>
          <w:sz w:val="24"/>
          <w:vertAlign w:val="subscript"/>
        </w:rPr>
        <w:t>kj</w:t>
      </w:r>
      <w:r>
        <w:rPr>
          <w:rFonts w:ascii="Times New Roman" w:hAnsi="Times New Roman" w:eastAsia="宋体"/>
          <w:b w:val="0"/>
          <w:color w:val="000000"/>
          <w:sz w:val="24"/>
        </w:rPr>
        <w:t xml:space="preserve"> = αT</w:t>
      </w:r>
      <w:r>
        <w:rPr>
          <w:rFonts w:ascii="Times New Roman" w:hAnsi="Times New Roman" w:eastAsia="宋体"/>
          <w:b w:val="0"/>
          <w:color w:val="000000"/>
          <w:sz w:val="24"/>
          <w:vertAlign w:val="subscript"/>
        </w:rPr>
        <w:t>k</w:t>
      </w:r>
      <w:r>
        <w:rPr>
          <w:rFonts w:ascii="Times New Roman" w:hAnsi="Times New Roman" w:eastAsia="宋体"/>
          <w:b w:val="0"/>
          <w:color w:val="000000"/>
          <w:sz w:val="24"/>
        </w:rPr>
        <w:t xml:space="preserve"> + β，(α*,β*) = argmin</w:t>
      </w:r>
      <w:r>
        <w:rPr>
          <w:rFonts w:ascii="Times New Roman" w:hAnsi="Times New Roman" w:eastAsia="宋体"/>
          <w:b w:val="0"/>
          <w:color w:val="000000"/>
          <w:sz w:val="24"/>
          <w:vertAlign w:val="subscript"/>
        </w:rPr>
        <w:t>α≥0,β≥0</w:t>
      </w:r>
      <w:r>
        <w:rPr>
          <w:rFonts w:ascii="Times New Roman" w:hAnsi="Times New Roman" w:eastAsia="宋体"/>
          <w:b w:val="0"/>
          <w:color w:val="000000"/>
          <w:sz w:val="24"/>
        </w:rPr>
        <w:t xml:space="preserve"> Σ</w:t>
      </w:r>
      <w:r>
        <w:rPr>
          <w:rFonts w:ascii="Times New Roman" w:hAnsi="Times New Roman" w:eastAsia="宋体"/>
          <w:b w:val="0"/>
          <w:color w:val="000000"/>
          <w:sz w:val="24"/>
          <w:vertAlign w:val="subscript"/>
        </w:rPr>
        <w:t>(k,j)</w:t>
      </w:r>
      <w:r>
        <w:rPr>
          <w:rFonts w:ascii="Times New Roman" w:hAnsi="Times New Roman" w:eastAsia="宋体"/>
          <w:b w:val="0"/>
          <w:color w:val="000000"/>
          <w:sz w:val="24"/>
        </w:rPr>
        <w:t xml:space="preserve"> (y</w:t>
      </w:r>
      <w:r>
        <w:rPr>
          <w:rFonts w:ascii="Times New Roman" w:hAnsi="Times New Roman" w:eastAsia="宋体"/>
          <w:b w:val="0"/>
          <w:color w:val="000000"/>
          <w:sz w:val="24"/>
          <w:vertAlign w:val="subscript"/>
        </w:rPr>
        <w:t>kj</w:t>
      </w:r>
      <w:r>
        <w:rPr>
          <w:rFonts w:ascii="Times New Roman" w:hAnsi="Times New Roman" w:eastAsia="宋体"/>
          <w:b w:val="0"/>
          <w:color w:val="000000"/>
          <w:sz w:val="24"/>
        </w:rPr>
        <w:t>−αT</w:t>
      </w:r>
      <w:r>
        <w:rPr>
          <w:rFonts w:ascii="Times New Roman" w:hAnsi="Times New Roman" w:eastAsia="宋体"/>
          <w:b w:val="0"/>
          <w:color w:val="000000"/>
          <w:sz w:val="24"/>
          <w:vertAlign w:val="subscript"/>
        </w:rPr>
        <w:t>k</w:t>
      </w:r>
      <w:r>
        <w:rPr>
          <w:rFonts w:ascii="Times New Roman" w:hAnsi="Times New Roman" w:eastAsia="宋体"/>
          <w:b w:val="0"/>
          <w:color w:val="000000"/>
          <w:sz w:val="24"/>
        </w:rPr>
        <w:t>−β)²。 （3）</w:t>
      </w:r>
    </w:p>
    <w:p>
      <w:r>
        <w:rPr>
          <w:rFonts w:ascii="Times New Roman" w:hAnsi="Times New Roman" w:eastAsia="宋体"/>
          <w:b w:val="0"/>
          <w:color w:val="000000"/>
          <w:sz w:val="24"/>
        </w:rPr>
        <w:t>参数只在训练时间块中估计并冻结；后续同日与跨日样本仅用于评价。同时报告无需SUMO输入的OD训练中位数参照m_k=median(y_kj)，用于判断复杂表示是否确实带来外推优势。仿射观测算子即使改善平台ETA误差，也不能单独证明内部排队、空间拥堵位置和个体轨迹准确。</w:t>
      </w:r>
    </w:p>
    <w:p>
      <w:r>
        <w:rPr>
          <w:rFonts w:ascii="Times New Roman" w:hAnsi="Times New Roman" w:eastAsia="宋体"/>
          <w:b w:val="0"/>
          <w:color w:val="000000"/>
          <w:sz w:val="24"/>
        </w:rPr>
        <w:t>采用MAE、RMSE等误差，并报告分OD样本量：</w:t>
      </w:r>
    </w:p>
    <w:p>
      <w:pPr>
        <w:ind w:firstLine="0"/>
        <w:jc w:val="center"/>
      </w:pPr>
      <w:r>
        <w:rPr>
          <w:rFonts w:ascii="Times New Roman" w:hAnsi="Times New Roman" w:eastAsia="宋体"/>
          <w:b w:val="0"/>
          <w:color w:val="000000"/>
          <w:sz w:val="24"/>
        </w:rPr>
        <w:t>MAE = (1/n)Σ|ŷ</w:t>
      </w:r>
      <w:r>
        <w:rPr>
          <w:rFonts w:ascii="Times New Roman" w:hAnsi="Times New Roman" w:eastAsia="宋体"/>
          <w:b w:val="0"/>
          <w:color w:val="000000"/>
          <w:sz w:val="24"/>
          <w:vertAlign w:val="subscript"/>
        </w:rPr>
        <w:t>i</w:t>
      </w:r>
      <w:r>
        <w:rPr>
          <w:rFonts w:ascii="Times New Roman" w:hAnsi="Times New Roman" w:eastAsia="宋体"/>
          <w:b w:val="0"/>
          <w:color w:val="000000"/>
          <w:sz w:val="24"/>
        </w:rPr>
        <w:t>−y</w:t>
      </w:r>
      <w:r>
        <w:rPr>
          <w:rFonts w:ascii="Times New Roman" w:hAnsi="Times New Roman" w:eastAsia="宋体"/>
          <w:b w:val="0"/>
          <w:color w:val="000000"/>
          <w:sz w:val="24"/>
          <w:vertAlign w:val="subscript"/>
        </w:rPr>
        <w:t>i</w:t>
      </w:r>
      <w:r>
        <w:rPr>
          <w:rFonts w:ascii="Times New Roman" w:hAnsi="Times New Roman" w:eastAsia="宋体"/>
          <w:b w:val="0"/>
          <w:color w:val="000000"/>
          <w:sz w:val="24"/>
        </w:rPr>
        <w:t>|；RMSE = √[(1/n)Σ(ŷ</w:t>
      </w:r>
      <w:r>
        <w:rPr>
          <w:rFonts w:ascii="Times New Roman" w:hAnsi="Times New Roman" w:eastAsia="宋体"/>
          <w:b w:val="0"/>
          <w:color w:val="000000"/>
          <w:sz w:val="24"/>
          <w:vertAlign w:val="subscript"/>
        </w:rPr>
        <w:t>i</w:t>
      </w:r>
      <w:r>
        <w:rPr>
          <w:rFonts w:ascii="Times New Roman" w:hAnsi="Times New Roman" w:eastAsia="宋体"/>
          <w:b w:val="0"/>
          <w:color w:val="000000"/>
          <w:sz w:val="24"/>
        </w:rPr>
        <w:t>−y</w:t>
      </w:r>
      <w:r>
        <w:rPr>
          <w:rFonts w:ascii="Times New Roman" w:hAnsi="Times New Roman" w:eastAsia="宋体"/>
          <w:b w:val="0"/>
          <w:color w:val="000000"/>
          <w:sz w:val="24"/>
          <w:vertAlign w:val="subscript"/>
        </w:rPr>
        <w:t>i</w:t>
      </w:r>
      <w:r>
        <w:rPr>
          <w:rFonts w:ascii="Times New Roman" w:hAnsi="Times New Roman" w:eastAsia="宋体"/>
          <w:b w:val="0"/>
          <w:color w:val="000000"/>
          <w:sz w:val="24"/>
        </w:rPr>
        <w:t>)²]。 （4）</w:t>
      </w:r>
    </w:p>
    <w:p>
      <w:r>
        <w:rPr>
          <w:rFonts w:ascii="Times New Roman" w:hAnsi="Times New Roman" w:eastAsia="宋体"/>
          <w:b w:val="0"/>
          <w:color w:val="000000"/>
          <w:sz w:val="24"/>
        </w:rPr>
        <w:t>同一OD的相邻平台快照可能高度相关，训练样本数量不等于同等数量独立道路实验。四个OD上的共享映射参数只支持本研究的局部参照；不以有限样本进行没有依据的统计显著性宣传。</w:t>
      </w:r>
    </w:p>
    <w:p>
      <w:r>
        <w:rPr>
          <w:rFonts w:ascii="Times New Roman" w:hAnsi="Times New Roman" w:eastAsia="宋体"/>
          <w:b w:val="0"/>
          <w:color w:val="000000"/>
          <w:sz w:val="24"/>
        </w:rPr>
        <w:t>本节拟合、误差统计和图表代码由AI辅助实现，数值来自实际冻结样本与SUMO输出。训练得到α=1.865950、β=293.691秒，非负约束未激活。四种不同T_k形成秩为2的设计矩阵，足以拟合两个统计参数，但不能识别更多物理机制。默认观测状态固定为OD训练中位数，共享仿射作为研究比较项；未根据留出误差重新选型或拟合。</w:t>
      </w:r>
    </w:p>
    <w:tbl>
      <w:tblPr>
        <w:tblStyle w:val="TableGrid"/>
        <w:tblW w:type="auto" w:w="0"/>
        <w:jc w:val="center"/>
        <w:tblLook w:firstColumn="1" w:firstRow="1" w:lastColumn="0" w:lastRow="0" w:noHBand="0" w:noVBand="1" w:val="04A0"/>
      </w:tblPr>
      <w:tblGrid>
        <w:gridCol w:w="2296"/>
        <w:gridCol w:w="2296"/>
        <w:gridCol w:w="2296"/>
        <w:gridCol w:w="2296"/>
      </w:tblGrid>
      <w:tr>
        <w:trPr>
          <w:cantSplit/>
          <w:tblHeader/>
        </w:trPr>
        <w:tc>
          <w:tcPr>
            <w:tcW w:type="dxa" w:w="2296"/>
            <w:vAlign w:val="center"/>
          </w:tcPr>
          <w:p>
            <w:pPr>
              <w:spacing w:line="240" w:lineRule="auto" w:before="0" w:after="0"/>
              <w:ind w:firstLine="0"/>
            </w:pPr>
            <w:r>
              <w:rPr>
                <w:rFonts w:ascii="Times New Roman" w:hAnsi="Times New Roman" w:eastAsia="宋体"/>
                <w:b/>
                <w:color w:val="000000"/>
                <w:sz w:val="24"/>
              </w:rPr>
              <w:t>OD</w:t>
            </w:r>
          </w:p>
        </w:tc>
        <w:tc>
          <w:tcPr>
            <w:tcW w:type="dxa" w:w="2296"/>
            <w:vAlign w:val="center"/>
          </w:tcPr>
          <w:p>
            <w:pPr>
              <w:spacing w:line="240" w:lineRule="auto" w:before="0" w:after="0"/>
              <w:ind w:firstLine="0"/>
            </w:pPr>
            <w:r>
              <w:rPr>
                <w:rFonts w:ascii="Times New Roman" w:hAnsi="Times New Roman" w:eastAsia="宋体"/>
                <w:b/>
                <w:color w:val="000000"/>
                <w:sz w:val="24"/>
              </w:rPr>
              <w:t>SUMO在网均时/s</w:t>
            </w:r>
          </w:p>
        </w:tc>
        <w:tc>
          <w:tcPr>
            <w:tcW w:type="dxa" w:w="2296"/>
            <w:vAlign w:val="center"/>
          </w:tcPr>
          <w:p>
            <w:pPr>
              <w:spacing w:line="240" w:lineRule="auto" w:before="0" w:after="0"/>
              <w:ind w:firstLine="0"/>
            </w:pPr>
            <w:r>
              <w:rPr>
                <w:rFonts w:ascii="Times New Roman" w:hAnsi="Times New Roman" w:eastAsia="宋体"/>
                <w:b/>
                <w:color w:val="000000"/>
                <w:sz w:val="24"/>
              </w:rPr>
              <w:t>训练中位数/s</w:t>
            </w:r>
          </w:p>
        </w:tc>
        <w:tc>
          <w:tcPr>
            <w:tcW w:type="dxa" w:w="2296"/>
            <w:vAlign w:val="center"/>
          </w:tcPr>
          <w:p>
            <w:pPr>
              <w:spacing w:line="240" w:lineRule="auto" w:before="0" w:after="0"/>
              <w:ind w:firstLine="0"/>
            </w:pPr>
            <w:r>
              <w:rPr>
                <w:rFonts w:ascii="Times New Roman" w:hAnsi="Times New Roman" w:eastAsia="宋体"/>
                <w:b/>
                <w:color w:val="000000"/>
                <w:sz w:val="24"/>
              </w:rPr>
              <w:t>等效残差/s</w:t>
            </w:r>
          </w:p>
        </w:tc>
      </w:tr>
      <w:tr>
        <w:trPr>
          <w:cantSplit/>
        </w:trPr>
        <w:tc>
          <w:tcPr>
            <w:tcW w:type="dxa" w:w="2296"/>
            <w:vAlign w:val="center"/>
          </w:tcPr>
          <w:p>
            <w:pPr>
              <w:spacing w:line="240" w:lineRule="auto" w:before="0" w:after="0"/>
              <w:ind w:firstLine="0"/>
            </w:pPr>
            <w:r>
              <w:rPr>
                <w:rFonts w:ascii="Times New Roman" w:hAnsi="Times New Roman" w:eastAsia="宋体"/>
                <w:b w:val="0"/>
                <w:color w:val="000000"/>
                <w:sz w:val="24"/>
              </w:rPr>
              <w:t>东→医院外围</w:t>
            </w:r>
          </w:p>
        </w:tc>
        <w:tc>
          <w:tcPr>
            <w:tcW w:type="dxa" w:w="2296"/>
            <w:vAlign w:val="center"/>
          </w:tcPr>
          <w:p>
            <w:pPr>
              <w:spacing w:line="240" w:lineRule="auto" w:before="0" w:after="0"/>
              <w:ind w:firstLine="0"/>
            </w:pPr>
            <w:r>
              <w:rPr>
                <w:rFonts w:ascii="Times New Roman" w:hAnsi="Times New Roman" w:eastAsia="宋体"/>
                <w:b w:val="0"/>
                <w:color w:val="000000"/>
                <w:sz w:val="24"/>
              </w:rPr>
              <w:t>153</w:t>
            </w:r>
          </w:p>
        </w:tc>
        <w:tc>
          <w:tcPr>
            <w:tcW w:type="dxa" w:w="2296"/>
            <w:vAlign w:val="center"/>
          </w:tcPr>
          <w:p>
            <w:pPr>
              <w:spacing w:line="240" w:lineRule="auto" w:before="0" w:after="0"/>
              <w:ind w:firstLine="0"/>
            </w:pPr>
            <w:r>
              <w:rPr>
                <w:rFonts w:ascii="Times New Roman" w:hAnsi="Times New Roman" w:eastAsia="宋体"/>
                <w:b w:val="0"/>
                <w:color w:val="000000"/>
                <w:sz w:val="24"/>
              </w:rPr>
              <w:t>594</w:t>
            </w:r>
          </w:p>
        </w:tc>
        <w:tc>
          <w:tcPr>
            <w:tcW w:type="dxa" w:w="2296"/>
            <w:vAlign w:val="center"/>
          </w:tcPr>
          <w:p>
            <w:pPr>
              <w:spacing w:line="240" w:lineRule="auto" w:before="0" w:after="0"/>
              <w:ind w:firstLine="0"/>
            </w:pPr>
            <w:r>
              <w:rPr>
                <w:rFonts w:ascii="Times New Roman" w:hAnsi="Times New Roman" w:eastAsia="宋体"/>
                <w:b w:val="0"/>
                <w:color w:val="000000"/>
                <w:sz w:val="24"/>
              </w:rPr>
              <w:t>441</w:t>
            </w:r>
          </w:p>
        </w:tc>
      </w:tr>
      <w:tr>
        <w:trPr>
          <w:cantSplit/>
        </w:trPr>
        <w:tc>
          <w:tcPr>
            <w:tcW w:type="dxa" w:w="2296"/>
            <w:vAlign w:val="center"/>
          </w:tcPr>
          <w:p>
            <w:pPr>
              <w:spacing w:line="240" w:lineRule="auto" w:before="0" w:after="0"/>
              <w:ind w:firstLine="0"/>
            </w:pPr>
            <w:r>
              <w:rPr>
                <w:rFonts w:ascii="Times New Roman" w:hAnsi="Times New Roman" w:eastAsia="宋体"/>
                <w:b w:val="0"/>
                <w:color w:val="000000"/>
                <w:sz w:val="24"/>
              </w:rPr>
              <w:t>北→南</w:t>
            </w:r>
          </w:p>
        </w:tc>
        <w:tc>
          <w:tcPr>
            <w:tcW w:type="dxa" w:w="2296"/>
            <w:vAlign w:val="center"/>
          </w:tcPr>
          <w:p>
            <w:pPr>
              <w:spacing w:line="240" w:lineRule="auto" w:before="0" w:after="0"/>
              <w:ind w:firstLine="0"/>
            </w:pPr>
            <w:r>
              <w:rPr>
                <w:rFonts w:ascii="Times New Roman" w:hAnsi="Times New Roman" w:eastAsia="宋体"/>
                <w:b w:val="0"/>
                <w:color w:val="000000"/>
                <w:sz w:val="24"/>
              </w:rPr>
              <w:t>217.75</w:t>
            </w:r>
          </w:p>
        </w:tc>
        <w:tc>
          <w:tcPr>
            <w:tcW w:type="dxa" w:w="2296"/>
            <w:vAlign w:val="center"/>
          </w:tcPr>
          <w:p>
            <w:pPr>
              <w:spacing w:line="240" w:lineRule="auto" w:before="0" w:after="0"/>
              <w:ind w:firstLine="0"/>
            </w:pPr>
            <w:r>
              <w:rPr>
                <w:rFonts w:ascii="Times New Roman" w:hAnsi="Times New Roman" w:eastAsia="宋体"/>
                <w:b w:val="0"/>
                <w:color w:val="000000"/>
                <w:sz w:val="24"/>
              </w:rPr>
              <w:t>693</w:t>
            </w:r>
          </w:p>
        </w:tc>
        <w:tc>
          <w:tcPr>
            <w:tcW w:type="dxa" w:w="2296"/>
            <w:vAlign w:val="center"/>
          </w:tcPr>
          <w:p>
            <w:pPr>
              <w:spacing w:line="240" w:lineRule="auto" w:before="0" w:after="0"/>
              <w:ind w:firstLine="0"/>
            </w:pPr>
            <w:r>
              <w:rPr>
                <w:rFonts w:ascii="Times New Roman" w:hAnsi="Times New Roman" w:eastAsia="宋体"/>
                <w:b w:val="0"/>
                <w:color w:val="000000"/>
                <w:sz w:val="24"/>
              </w:rPr>
              <w:t>475.25</w:t>
            </w:r>
          </w:p>
        </w:tc>
      </w:tr>
      <w:tr>
        <w:trPr>
          <w:cantSplit/>
        </w:trPr>
        <w:tc>
          <w:tcPr>
            <w:tcW w:type="dxa" w:w="2296"/>
            <w:vAlign w:val="center"/>
          </w:tcPr>
          <w:p>
            <w:pPr>
              <w:spacing w:line="240" w:lineRule="auto" w:before="0" w:after="0"/>
              <w:ind w:firstLine="0"/>
            </w:pPr>
            <w:r>
              <w:rPr>
                <w:rFonts w:ascii="Times New Roman" w:hAnsi="Times New Roman" w:eastAsia="宋体"/>
                <w:b w:val="0"/>
                <w:color w:val="000000"/>
                <w:sz w:val="24"/>
              </w:rPr>
              <w:t>南→北</w:t>
            </w:r>
          </w:p>
        </w:tc>
        <w:tc>
          <w:tcPr>
            <w:tcW w:type="dxa" w:w="2296"/>
            <w:vAlign w:val="center"/>
          </w:tcPr>
          <w:p>
            <w:pPr>
              <w:spacing w:line="240" w:lineRule="auto" w:before="0" w:after="0"/>
              <w:ind w:firstLine="0"/>
            </w:pPr>
            <w:r>
              <w:rPr>
                <w:rFonts w:ascii="Times New Roman" w:hAnsi="Times New Roman" w:eastAsia="宋体"/>
                <w:b w:val="0"/>
                <w:color w:val="000000"/>
                <w:sz w:val="24"/>
              </w:rPr>
              <w:t>94</w:t>
            </w:r>
          </w:p>
        </w:tc>
        <w:tc>
          <w:tcPr>
            <w:tcW w:type="dxa" w:w="2296"/>
            <w:vAlign w:val="center"/>
          </w:tcPr>
          <w:p>
            <w:pPr>
              <w:spacing w:line="240" w:lineRule="auto" w:before="0" w:after="0"/>
              <w:ind w:firstLine="0"/>
            </w:pPr>
            <w:r>
              <w:rPr>
                <w:rFonts w:ascii="Times New Roman" w:hAnsi="Times New Roman" w:eastAsia="宋体"/>
                <w:b w:val="0"/>
                <w:color w:val="000000"/>
                <w:sz w:val="24"/>
              </w:rPr>
              <w:t>417</w:t>
            </w:r>
          </w:p>
        </w:tc>
        <w:tc>
          <w:tcPr>
            <w:tcW w:type="dxa" w:w="2296"/>
            <w:vAlign w:val="center"/>
          </w:tcPr>
          <w:p>
            <w:pPr>
              <w:spacing w:line="240" w:lineRule="auto" w:before="0" w:after="0"/>
              <w:ind w:firstLine="0"/>
            </w:pPr>
            <w:r>
              <w:rPr>
                <w:rFonts w:ascii="Times New Roman" w:hAnsi="Times New Roman" w:eastAsia="宋体"/>
                <w:b w:val="0"/>
                <w:color w:val="000000"/>
                <w:sz w:val="24"/>
              </w:rPr>
              <w:t>323</w:t>
            </w:r>
          </w:p>
        </w:tc>
      </w:tr>
      <w:tr>
        <w:trPr>
          <w:cantSplit/>
        </w:trPr>
        <w:tc>
          <w:tcPr>
            <w:tcW w:type="dxa" w:w="2296"/>
            <w:vAlign w:val="center"/>
          </w:tcPr>
          <w:p>
            <w:pPr>
              <w:spacing w:line="240" w:lineRule="auto" w:before="0" w:after="0"/>
              <w:ind w:firstLine="0"/>
            </w:pPr>
            <w:r>
              <w:rPr>
                <w:rFonts w:ascii="Times New Roman" w:hAnsi="Times New Roman" w:eastAsia="宋体"/>
                <w:b w:val="0"/>
                <w:color w:val="000000"/>
                <w:sz w:val="24"/>
              </w:rPr>
              <w:t>西→医院外围</w:t>
            </w:r>
          </w:p>
        </w:tc>
        <w:tc>
          <w:tcPr>
            <w:tcW w:type="dxa" w:w="2296"/>
            <w:vAlign w:val="center"/>
          </w:tcPr>
          <w:p>
            <w:pPr>
              <w:spacing w:line="240" w:lineRule="auto" w:before="0" w:after="0"/>
              <w:ind w:firstLine="0"/>
            </w:pPr>
            <w:r>
              <w:rPr>
                <w:rFonts w:ascii="Times New Roman" w:hAnsi="Times New Roman" w:eastAsia="宋体"/>
                <w:b w:val="0"/>
                <w:color w:val="000000"/>
                <w:sz w:val="24"/>
              </w:rPr>
              <w:t>111</w:t>
            </w:r>
          </w:p>
        </w:tc>
        <w:tc>
          <w:tcPr>
            <w:tcW w:type="dxa" w:w="2296"/>
            <w:vAlign w:val="center"/>
          </w:tcPr>
          <w:p>
            <w:pPr>
              <w:spacing w:line="240" w:lineRule="auto" w:before="0" w:after="0"/>
              <w:ind w:firstLine="0"/>
            </w:pPr>
            <w:r>
              <w:rPr>
                <w:rFonts w:ascii="Times New Roman" w:hAnsi="Times New Roman" w:eastAsia="宋体"/>
                <w:b w:val="0"/>
                <w:color w:val="000000"/>
                <w:sz w:val="24"/>
              </w:rPr>
              <w:t>476</w:t>
            </w:r>
          </w:p>
        </w:tc>
        <w:tc>
          <w:tcPr>
            <w:tcW w:type="dxa" w:w="2296"/>
            <w:vAlign w:val="center"/>
          </w:tcPr>
          <w:p>
            <w:pPr>
              <w:spacing w:line="240" w:lineRule="auto" w:before="0" w:after="0"/>
              <w:ind w:firstLine="0"/>
            </w:pPr>
            <w:r>
              <w:rPr>
                <w:rFonts w:ascii="Times New Roman" w:hAnsi="Times New Roman" w:eastAsia="宋体"/>
                <w:b w:val="0"/>
                <w:color w:val="000000"/>
                <w:sz w:val="24"/>
              </w:rPr>
              <w:t>365</w:t>
            </w:r>
          </w:p>
        </w:tc>
      </w:tr>
    </w:tbl>
    <w:p>
      <w:pPr>
        <w:spacing w:after="0"/>
      </w:pPr>
    </w:p>
    <w:p>
      <w:r>
        <w:rPr>
          <w:rFonts w:ascii="Times New Roman" w:hAnsi="Times New Roman" w:eastAsia="宋体"/>
          <w:b w:val="0"/>
          <w:color w:val="000000"/>
          <w:sz w:val="24"/>
        </w:rPr>
        <w:t>上表等效残差是平台中位数减固定假设下SUMO均时，混合了未识别信号、流量、几何和平台估计差异，不能解释为实测排队时间。</w:t>
      </w:r>
    </w:p>
    <w:tbl>
      <w:tblPr>
        <w:tblStyle w:val="TableGrid"/>
        <w:tblW w:type="auto" w:w="0"/>
        <w:jc w:val="center"/>
        <w:tblLook w:firstColumn="1" w:firstRow="1" w:lastColumn="0" w:lastRow="0" w:noHBand="0" w:noVBand="1" w:val="04A0"/>
      </w:tblPr>
      <w:tblGrid>
        <w:gridCol w:w="1837"/>
        <w:gridCol w:w="1837"/>
        <w:gridCol w:w="1837"/>
        <w:gridCol w:w="1837"/>
        <w:gridCol w:w="1837"/>
      </w:tblGrid>
      <w:tr>
        <w:trPr>
          <w:cantSplit/>
          <w:tblHeader/>
        </w:trPr>
        <w:tc>
          <w:tcPr>
            <w:tcW w:type="dxa" w:w="1837"/>
            <w:vAlign w:val="center"/>
          </w:tcPr>
          <w:p>
            <w:pPr>
              <w:spacing w:line="240" w:lineRule="auto" w:before="0" w:after="0"/>
              <w:ind w:firstLine="0"/>
            </w:pPr>
            <w:r>
              <w:rPr>
                <w:rFonts w:ascii="Times New Roman" w:hAnsi="Times New Roman" w:eastAsia="宋体"/>
                <w:b/>
                <w:color w:val="000000"/>
                <w:sz w:val="24"/>
              </w:rPr>
              <w:t>数据分区</w:t>
            </w:r>
          </w:p>
        </w:tc>
        <w:tc>
          <w:tcPr>
            <w:tcW w:type="dxa" w:w="1837"/>
            <w:vAlign w:val="center"/>
          </w:tcPr>
          <w:p>
            <w:pPr>
              <w:spacing w:line="240" w:lineRule="auto" w:before="0" w:after="0"/>
              <w:ind w:firstLine="0"/>
            </w:pPr>
            <w:r>
              <w:rPr>
                <w:rFonts w:ascii="Times New Roman" w:hAnsi="Times New Roman" w:eastAsia="宋体"/>
                <w:b/>
                <w:color w:val="000000"/>
                <w:sz w:val="24"/>
              </w:rPr>
              <w:t>方法</w:t>
            </w:r>
          </w:p>
        </w:tc>
        <w:tc>
          <w:tcPr>
            <w:tcW w:type="dxa" w:w="1837"/>
            <w:vAlign w:val="center"/>
          </w:tcPr>
          <w:p>
            <w:pPr>
              <w:spacing w:line="240" w:lineRule="auto" w:before="0" w:after="0"/>
              <w:ind w:firstLine="0"/>
            </w:pPr>
            <w:r>
              <w:rPr>
                <w:rFonts w:ascii="Times New Roman" w:hAnsi="Times New Roman" w:eastAsia="宋体"/>
                <w:b/>
                <w:color w:val="000000"/>
                <w:sz w:val="24"/>
              </w:rPr>
              <w:t>样本数</w:t>
            </w:r>
          </w:p>
        </w:tc>
        <w:tc>
          <w:tcPr>
            <w:tcW w:type="dxa" w:w="1837"/>
            <w:vAlign w:val="center"/>
          </w:tcPr>
          <w:p>
            <w:pPr>
              <w:spacing w:line="240" w:lineRule="auto" w:before="0" w:after="0"/>
              <w:ind w:firstLine="0"/>
            </w:pPr>
            <w:r>
              <w:rPr>
                <w:rFonts w:ascii="Times New Roman" w:hAnsi="Times New Roman" w:eastAsia="宋体"/>
                <w:b/>
                <w:color w:val="000000"/>
                <w:sz w:val="24"/>
              </w:rPr>
              <w:t>MAE/s</w:t>
            </w:r>
          </w:p>
        </w:tc>
        <w:tc>
          <w:tcPr>
            <w:tcW w:type="dxa" w:w="1837"/>
            <w:vAlign w:val="center"/>
          </w:tcPr>
          <w:p>
            <w:pPr>
              <w:spacing w:line="240" w:lineRule="auto" w:before="0" w:after="0"/>
              <w:ind w:firstLine="0"/>
            </w:pPr>
            <w:r>
              <w:rPr>
                <w:rFonts w:ascii="Times New Roman" w:hAnsi="Times New Roman" w:eastAsia="宋体"/>
                <w:b/>
                <w:color w:val="000000"/>
                <w:sz w:val="24"/>
              </w:rPr>
              <w:t>RMSE/s</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训练</w:t>
            </w:r>
          </w:p>
        </w:tc>
        <w:tc>
          <w:tcPr>
            <w:tcW w:type="dxa" w:w="1837"/>
            <w:vAlign w:val="center"/>
          </w:tcPr>
          <w:p>
            <w:pPr>
              <w:spacing w:line="240" w:lineRule="auto" w:before="0" w:after="0"/>
              <w:ind w:firstLine="0"/>
            </w:pPr>
            <w:r>
              <w:rPr>
                <w:rFonts w:ascii="Times New Roman" w:hAnsi="Times New Roman" w:eastAsia="宋体"/>
                <w:b w:val="0"/>
                <w:color w:val="000000"/>
                <w:sz w:val="24"/>
              </w:rPr>
              <w:t>未标定SUMO</w:t>
            </w:r>
          </w:p>
        </w:tc>
        <w:tc>
          <w:tcPr>
            <w:tcW w:type="dxa" w:w="1837"/>
            <w:vAlign w:val="center"/>
          </w:tcPr>
          <w:p>
            <w:pPr>
              <w:spacing w:line="240" w:lineRule="auto" w:before="0" w:after="0"/>
              <w:ind w:firstLine="0"/>
            </w:pPr>
            <w:r>
              <w:rPr>
                <w:rFonts w:ascii="Times New Roman" w:hAnsi="Times New Roman" w:eastAsia="宋体"/>
                <w:b w:val="0"/>
                <w:color w:val="000000"/>
                <w:sz w:val="24"/>
              </w:rPr>
              <w:t>48</w:t>
            </w:r>
          </w:p>
        </w:tc>
        <w:tc>
          <w:tcPr>
            <w:tcW w:type="dxa" w:w="1837"/>
            <w:vAlign w:val="center"/>
          </w:tcPr>
          <w:p>
            <w:pPr>
              <w:spacing w:line="240" w:lineRule="auto" w:before="0" w:after="0"/>
              <w:ind w:firstLine="0"/>
            </w:pPr>
            <w:r>
              <w:rPr>
                <w:rFonts w:ascii="Times New Roman" w:hAnsi="Times New Roman" w:eastAsia="宋体"/>
                <w:b w:val="0"/>
                <w:color w:val="000000"/>
                <w:sz w:val="24"/>
              </w:rPr>
              <w:t>418.33</w:t>
            </w:r>
          </w:p>
        </w:tc>
        <w:tc>
          <w:tcPr>
            <w:tcW w:type="dxa" w:w="1837"/>
            <w:vAlign w:val="center"/>
          </w:tcPr>
          <w:p>
            <w:pPr>
              <w:spacing w:line="240" w:lineRule="auto" w:before="0" w:after="0"/>
              <w:ind w:firstLine="0"/>
            </w:pPr>
            <w:r>
              <w:rPr>
                <w:rFonts w:ascii="Times New Roman" w:hAnsi="Times New Roman" w:eastAsia="宋体"/>
                <w:b w:val="0"/>
                <w:color w:val="000000"/>
                <w:sz w:val="24"/>
              </w:rPr>
              <w:t>427.95</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训练</w:t>
            </w:r>
          </w:p>
        </w:tc>
        <w:tc>
          <w:tcPr>
            <w:tcW w:type="dxa" w:w="1837"/>
            <w:vAlign w:val="center"/>
          </w:tcPr>
          <w:p>
            <w:pPr>
              <w:spacing w:line="240" w:lineRule="auto" w:before="0" w:after="0"/>
              <w:ind w:firstLine="0"/>
            </w:pPr>
            <w:r>
              <w:rPr>
                <w:rFonts w:ascii="Times New Roman" w:hAnsi="Times New Roman" w:eastAsia="宋体"/>
                <w:b w:val="0"/>
                <w:color w:val="000000"/>
                <w:sz w:val="24"/>
              </w:rPr>
              <w:t>OD训练中位数</w:t>
            </w:r>
          </w:p>
        </w:tc>
        <w:tc>
          <w:tcPr>
            <w:tcW w:type="dxa" w:w="1837"/>
            <w:vAlign w:val="center"/>
          </w:tcPr>
          <w:p>
            <w:pPr>
              <w:spacing w:line="240" w:lineRule="auto" w:before="0" w:after="0"/>
              <w:ind w:firstLine="0"/>
            </w:pPr>
            <w:r>
              <w:rPr>
                <w:rFonts w:ascii="Times New Roman" w:hAnsi="Times New Roman" w:eastAsia="宋体"/>
                <w:b w:val="0"/>
                <w:color w:val="000000"/>
                <w:sz w:val="24"/>
              </w:rPr>
              <w:t>48</w:t>
            </w:r>
          </w:p>
        </w:tc>
        <w:tc>
          <w:tcPr>
            <w:tcW w:type="dxa" w:w="1837"/>
            <w:vAlign w:val="center"/>
          </w:tcPr>
          <w:p>
            <w:pPr>
              <w:spacing w:line="240" w:lineRule="auto" w:before="0" w:after="0"/>
              <w:ind w:firstLine="0"/>
            </w:pPr>
            <w:r>
              <w:rPr>
                <w:rFonts w:ascii="Times New Roman" w:hAnsi="Times New Roman" w:eastAsia="宋体"/>
                <w:b w:val="0"/>
                <w:color w:val="000000"/>
                <w:sz w:val="24"/>
              </w:rPr>
              <w:t>57.6</w:t>
            </w:r>
          </w:p>
        </w:tc>
        <w:tc>
          <w:tcPr>
            <w:tcW w:type="dxa" w:w="1837"/>
            <w:vAlign w:val="center"/>
          </w:tcPr>
          <w:p>
            <w:pPr>
              <w:spacing w:line="240" w:lineRule="auto" w:before="0" w:after="0"/>
              <w:ind w:firstLine="0"/>
            </w:pPr>
            <w:r>
              <w:rPr>
                <w:rFonts w:ascii="Times New Roman" w:hAnsi="Times New Roman" w:eastAsia="宋体"/>
                <w:b w:val="0"/>
                <w:color w:val="000000"/>
                <w:sz w:val="24"/>
              </w:rPr>
              <w:t>80.66</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训练</w:t>
            </w:r>
          </w:p>
        </w:tc>
        <w:tc>
          <w:tcPr>
            <w:tcW w:type="dxa" w:w="1837"/>
            <w:vAlign w:val="center"/>
          </w:tcPr>
          <w:p>
            <w:pPr>
              <w:spacing w:line="240" w:lineRule="auto" w:before="0" w:after="0"/>
              <w:ind w:firstLine="0"/>
            </w:pPr>
            <w:r>
              <w:rPr>
                <w:rFonts w:ascii="Times New Roman" w:hAnsi="Times New Roman" w:eastAsia="宋体"/>
                <w:b w:val="0"/>
                <w:color w:val="000000"/>
                <w:sz w:val="24"/>
              </w:rPr>
              <w:t>共享仿射</w:t>
            </w:r>
          </w:p>
        </w:tc>
        <w:tc>
          <w:tcPr>
            <w:tcW w:type="dxa" w:w="1837"/>
            <w:vAlign w:val="center"/>
          </w:tcPr>
          <w:p>
            <w:pPr>
              <w:spacing w:line="240" w:lineRule="auto" w:before="0" w:after="0"/>
              <w:ind w:firstLine="0"/>
            </w:pPr>
            <w:r>
              <w:rPr>
                <w:rFonts w:ascii="Times New Roman" w:hAnsi="Times New Roman" w:eastAsia="宋体"/>
                <w:b w:val="0"/>
                <w:color w:val="000000"/>
                <w:sz w:val="24"/>
              </w:rPr>
              <w:t>48</w:t>
            </w:r>
          </w:p>
        </w:tc>
        <w:tc>
          <w:tcPr>
            <w:tcW w:type="dxa" w:w="1837"/>
            <w:vAlign w:val="center"/>
          </w:tcPr>
          <w:p>
            <w:pPr>
              <w:spacing w:line="240" w:lineRule="auto" w:before="0" w:after="0"/>
              <w:ind w:firstLine="0"/>
            </w:pPr>
            <w:r>
              <w:rPr>
                <w:rFonts w:ascii="Times New Roman" w:hAnsi="Times New Roman" w:eastAsia="宋体"/>
                <w:b w:val="0"/>
                <w:color w:val="000000"/>
                <w:sz w:val="24"/>
              </w:rPr>
              <w:t>62.12</w:t>
            </w:r>
          </w:p>
        </w:tc>
        <w:tc>
          <w:tcPr>
            <w:tcW w:type="dxa" w:w="1837"/>
            <w:vAlign w:val="center"/>
          </w:tcPr>
          <w:p>
            <w:pPr>
              <w:spacing w:line="240" w:lineRule="auto" w:before="0" w:after="0"/>
              <w:ind w:firstLine="0"/>
            </w:pPr>
            <w:r>
              <w:rPr>
                <w:rFonts w:ascii="Times New Roman" w:hAnsi="Times New Roman" w:eastAsia="宋体"/>
                <w:b w:val="0"/>
                <w:color w:val="000000"/>
                <w:sz w:val="24"/>
              </w:rPr>
              <w:t>80.2</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同日探索</w:t>
            </w:r>
          </w:p>
        </w:tc>
        <w:tc>
          <w:tcPr>
            <w:tcW w:type="dxa" w:w="1837"/>
            <w:vAlign w:val="center"/>
          </w:tcPr>
          <w:p>
            <w:pPr>
              <w:spacing w:line="240" w:lineRule="auto" w:before="0" w:after="0"/>
              <w:ind w:firstLine="0"/>
            </w:pPr>
            <w:r>
              <w:rPr>
                <w:rFonts w:ascii="Times New Roman" w:hAnsi="Times New Roman" w:eastAsia="宋体"/>
                <w:b w:val="0"/>
                <w:color w:val="000000"/>
                <w:sz w:val="24"/>
              </w:rPr>
              <w:t>未标定SUMO</w:t>
            </w:r>
          </w:p>
        </w:tc>
        <w:tc>
          <w:tcPr>
            <w:tcW w:type="dxa" w:w="1837"/>
            <w:vAlign w:val="center"/>
          </w:tcPr>
          <w:p>
            <w:pPr>
              <w:spacing w:line="240" w:lineRule="auto" w:before="0" w:after="0"/>
              <w:ind w:firstLine="0"/>
            </w:pPr>
            <w:r>
              <w:rPr>
                <w:rFonts w:ascii="Times New Roman" w:hAnsi="Times New Roman" w:eastAsia="宋体"/>
                <w:b w:val="0"/>
                <w:color w:val="000000"/>
                <w:sz w:val="24"/>
              </w:rPr>
              <w:t>16</w:t>
            </w:r>
          </w:p>
        </w:tc>
        <w:tc>
          <w:tcPr>
            <w:tcW w:type="dxa" w:w="1837"/>
            <w:vAlign w:val="center"/>
          </w:tcPr>
          <w:p>
            <w:pPr>
              <w:spacing w:line="240" w:lineRule="auto" w:before="0" w:after="0"/>
              <w:ind w:firstLine="0"/>
            </w:pPr>
            <w:r>
              <w:rPr>
                <w:rFonts w:ascii="Times New Roman" w:hAnsi="Times New Roman" w:eastAsia="宋体"/>
                <w:b w:val="0"/>
                <w:color w:val="000000"/>
                <w:sz w:val="24"/>
              </w:rPr>
              <w:t>467.19</w:t>
            </w:r>
          </w:p>
        </w:tc>
        <w:tc>
          <w:tcPr>
            <w:tcW w:type="dxa" w:w="1837"/>
            <w:vAlign w:val="center"/>
          </w:tcPr>
          <w:p>
            <w:pPr>
              <w:spacing w:line="240" w:lineRule="auto" w:before="0" w:after="0"/>
              <w:ind w:firstLine="0"/>
            </w:pPr>
            <w:r>
              <w:rPr>
                <w:rFonts w:ascii="Times New Roman" w:hAnsi="Times New Roman" w:eastAsia="宋体"/>
                <w:b w:val="0"/>
                <w:color w:val="000000"/>
                <w:sz w:val="24"/>
              </w:rPr>
              <w:t>484.32</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同日探索</w:t>
            </w:r>
          </w:p>
        </w:tc>
        <w:tc>
          <w:tcPr>
            <w:tcW w:type="dxa" w:w="1837"/>
            <w:vAlign w:val="center"/>
          </w:tcPr>
          <w:p>
            <w:pPr>
              <w:spacing w:line="240" w:lineRule="auto" w:before="0" w:after="0"/>
              <w:ind w:firstLine="0"/>
            </w:pPr>
            <w:r>
              <w:rPr>
                <w:rFonts w:ascii="Times New Roman" w:hAnsi="Times New Roman" w:eastAsia="宋体"/>
                <w:b w:val="0"/>
                <w:color w:val="000000"/>
                <w:sz w:val="24"/>
              </w:rPr>
              <w:t>OD训练中位数</w:t>
            </w:r>
          </w:p>
        </w:tc>
        <w:tc>
          <w:tcPr>
            <w:tcW w:type="dxa" w:w="1837"/>
            <w:vAlign w:val="center"/>
          </w:tcPr>
          <w:p>
            <w:pPr>
              <w:spacing w:line="240" w:lineRule="auto" w:before="0" w:after="0"/>
              <w:ind w:firstLine="0"/>
            </w:pPr>
            <w:r>
              <w:rPr>
                <w:rFonts w:ascii="Times New Roman" w:hAnsi="Times New Roman" w:eastAsia="宋体"/>
                <w:b w:val="0"/>
                <w:color w:val="000000"/>
                <w:sz w:val="24"/>
              </w:rPr>
              <w:t>16</w:t>
            </w:r>
          </w:p>
        </w:tc>
        <w:tc>
          <w:tcPr>
            <w:tcW w:type="dxa" w:w="1837"/>
            <w:vAlign w:val="center"/>
          </w:tcPr>
          <w:p>
            <w:pPr>
              <w:spacing w:line="240" w:lineRule="auto" w:before="0" w:after="0"/>
              <w:ind w:firstLine="0"/>
            </w:pPr>
            <w:r>
              <w:rPr>
                <w:rFonts w:ascii="Times New Roman" w:hAnsi="Times New Roman" w:eastAsia="宋体"/>
                <w:b w:val="0"/>
                <w:color w:val="000000"/>
                <w:sz w:val="24"/>
              </w:rPr>
              <w:t>119.75</w:t>
            </w:r>
          </w:p>
        </w:tc>
        <w:tc>
          <w:tcPr>
            <w:tcW w:type="dxa" w:w="1837"/>
            <w:vAlign w:val="center"/>
          </w:tcPr>
          <w:p>
            <w:pPr>
              <w:spacing w:line="240" w:lineRule="auto" w:before="0" w:after="0"/>
              <w:ind w:firstLine="0"/>
            </w:pPr>
            <w:r>
              <w:rPr>
                <w:rFonts w:ascii="Times New Roman" w:hAnsi="Times New Roman" w:eastAsia="宋体"/>
                <w:b w:val="0"/>
                <w:color w:val="000000"/>
                <w:sz w:val="24"/>
              </w:rPr>
              <w:t>176.16</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同日探索</w:t>
            </w:r>
          </w:p>
        </w:tc>
        <w:tc>
          <w:tcPr>
            <w:tcW w:type="dxa" w:w="1837"/>
            <w:vAlign w:val="center"/>
          </w:tcPr>
          <w:p>
            <w:pPr>
              <w:spacing w:line="240" w:lineRule="auto" w:before="0" w:after="0"/>
              <w:ind w:firstLine="0"/>
            </w:pPr>
            <w:r>
              <w:rPr>
                <w:rFonts w:ascii="Times New Roman" w:hAnsi="Times New Roman" w:eastAsia="宋体"/>
                <w:b w:val="0"/>
                <w:color w:val="000000"/>
                <w:sz w:val="24"/>
              </w:rPr>
              <w:t>共享仿射</w:t>
            </w:r>
          </w:p>
        </w:tc>
        <w:tc>
          <w:tcPr>
            <w:tcW w:type="dxa" w:w="1837"/>
            <w:vAlign w:val="center"/>
          </w:tcPr>
          <w:p>
            <w:pPr>
              <w:spacing w:line="240" w:lineRule="auto" w:before="0" w:after="0"/>
              <w:ind w:firstLine="0"/>
            </w:pPr>
            <w:r>
              <w:rPr>
                <w:rFonts w:ascii="Times New Roman" w:hAnsi="Times New Roman" w:eastAsia="宋体"/>
                <w:b w:val="0"/>
                <w:color w:val="000000"/>
                <w:sz w:val="24"/>
              </w:rPr>
              <w:t>16</w:t>
            </w:r>
          </w:p>
        </w:tc>
        <w:tc>
          <w:tcPr>
            <w:tcW w:type="dxa" w:w="1837"/>
            <w:vAlign w:val="center"/>
          </w:tcPr>
          <w:p>
            <w:pPr>
              <w:spacing w:line="240" w:lineRule="auto" w:before="0" w:after="0"/>
              <w:ind w:firstLine="0"/>
            </w:pPr>
            <w:r>
              <w:rPr>
                <w:rFonts w:ascii="Times New Roman" w:hAnsi="Times New Roman" w:eastAsia="宋体"/>
                <w:b w:val="0"/>
                <w:color w:val="000000"/>
                <w:sz w:val="24"/>
              </w:rPr>
              <w:t>105</w:t>
            </w:r>
          </w:p>
        </w:tc>
        <w:tc>
          <w:tcPr>
            <w:tcW w:type="dxa" w:w="1837"/>
            <w:vAlign w:val="center"/>
          </w:tcPr>
          <w:p>
            <w:pPr>
              <w:spacing w:line="240" w:lineRule="auto" w:before="0" w:after="0"/>
              <w:ind w:firstLine="0"/>
            </w:pPr>
            <w:r>
              <w:rPr>
                <w:rFonts w:ascii="Times New Roman" w:hAnsi="Times New Roman" w:eastAsia="宋体"/>
                <w:b w:val="0"/>
                <w:color w:val="000000"/>
                <w:sz w:val="24"/>
              </w:rPr>
              <w:t>152.96</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跨日留出</w:t>
            </w:r>
          </w:p>
        </w:tc>
        <w:tc>
          <w:tcPr>
            <w:tcW w:type="dxa" w:w="1837"/>
            <w:vAlign w:val="center"/>
          </w:tcPr>
          <w:p>
            <w:pPr>
              <w:spacing w:line="240" w:lineRule="auto" w:before="0" w:after="0"/>
              <w:ind w:firstLine="0"/>
            </w:pPr>
            <w:r>
              <w:rPr>
                <w:rFonts w:ascii="Times New Roman" w:hAnsi="Times New Roman" w:eastAsia="宋体"/>
                <w:b w:val="0"/>
                <w:color w:val="000000"/>
                <w:sz w:val="24"/>
              </w:rPr>
              <w:t>未标定SUMO</w:t>
            </w:r>
          </w:p>
        </w:tc>
        <w:tc>
          <w:tcPr>
            <w:tcW w:type="dxa" w:w="1837"/>
            <w:vAlign w:val="center"/>
          </w:tcPr>
          <w:p>
            <w:pPr>
              <w:spacing w:line="240" w:lineRule="auto" w:before="0" w:after="0"/>
              <w:ind w:firstLine="0"/>
            </w:pPr>
            <w:r>
              <w:rPr>
                <w:rFonts w:ascii="Times New Roman" w:hAnsi="Times New Roman" w:eastAsia="宋体"/>
                <w:b w:val="0"/>
                <w:color w:val="000000"/>
                <w:sz w:val="24"/>
              </w:rPr>
              <w:t>96</w:t>
            </w:r>
          </w:p>
        </w:tc>
        <w:tc>
          <w:tcPr>
            <w:tcW w:type="dxa" w:w="1837"/>
            <w:vAlign w:val="center"/>
          </w:tcPr>
          <w:p>
            <w:pPr>
              <w:spacing w:line="240" w:lineRule="auto" w:before="0" w:after="0"/>
              <w:ind w:firstLine="0"/>
            </w:pPr>
            <w:r>
              <w:rPr>
                <w:rFonts w:ascii="Times New Roman" w:hAnsi="Times New Roman" w:eastAsia="宋体"/>
                <w:b w:val="0"/>
                <w:color w:val="000000"/>
                <w:sz w:val="24"/>
              </w:rPr>
              <w:t>200.6</w:t>
            </w:r>
          </w:p>
        </w:tc>
        <w:tc>
          <w:tcPr>
            <w:tcW w:type="dxa" w:w="1837"/>
            <w:vAlign w:val="center"/>
          </w:tcPr>
          <w:p>
            <w:pPr>
              <w:spacing w:line="240" w:lineRule="auto" w:before="0" w:after="0"/>
              <w:ind w:firstLine="0"/>
            </w:pPr>
            <w:r>
              <w:rPr>
                <w:rFonts w:ascii="Times New Roman" w:hAnsi="Times New Roman" w:eastAsia="宋体"/>
                <w:b w:val="0"/>
                <w:color w:val="000000"/>
                <w:sz w:val="24"/>
              </w:rPr>
              <w:t>212.2</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跨日留出</w:t>
            </w:r>
          </w:p>
        </w:tc>
        <w:tc>
          <w:tcPr>
            <w:tcW w:type="dxa" w:w="1837"/>
            <w:vAlign w:val="center"/>
          </w:tcPr>
          <w:p>
            <w:pPr>
              <w:spacing w:line="240" w:lineRule="auto" w:before="0" w:after="0"/>
              <w:ind w:firstLine="0"/>
            </w:pPr>
            <w:r>
              <w:rPr>
                <w:rFonts w:ascii="Times New Roman" w:hAnsi="Times New Roman" w:eastAsia="宋体"/>
                <w:b w:val="0"/>
                <w:color w:val="000000"/>
                <w:sz w:val="24"/>
              </w:rPr>
              <w:t>OD训练中位数</w:t>
            </w:r>
          </w:p>
        </w:tc>
        <w:tc>
          <w:tcPr>
            <w:tcW w:type="dxa" w:w="1837"/>
            <w:vAlign w:val="center"/>
          </w:tcPr>
          <w:p>
            <w:pPr>
              <w:spacing w:line="240" w:lineRule="auto" w:before="0" w:after="0"/>
              <w:ind w:firstLine="0"/>
            </w:pPr>
            <w:r>
              <w:rPr>
                <w:rFonts w:ascii="Times New Roman" w:hAnsi="Times New Roman" w:eastAsia="宋体"/>
                <w:b w:val="0"/>
                <w:color w:val="000000"/>
                <w:sz w:val="24"/>
              </w:rPr>
              <w:t>96</w:t>
            </w:r>
          </w:p>
        </w:tc>
        <w:tc>
          <w:tcPr>
            <w:tcW w:type="dxa" w:w="1837"/>
            <w:vAlign w:val="center"/>
          </w:tcPr>
          <w:p>
            <w:pPr>
              <w:spacing w:line="240" w:lineRule="auto" w:before="0" w:after="0"/>
              <w:ind w:firstLine="0"/>
            </w:pPr>
            <w:r>
              <w:rPr>
                <w:rFonts w:ascii="Times New Roman" w:hAnsi="Times New Roman" w:eastAsia="宋体"/>
                <w:b w:val="0"/>
                <w:color w:val="000000"/>
                <w:sz w:val="24"/>
              </w:rPr>
              <w:t>200.46</w:t>
            </w:r>
          </w:p>
        </w:tc>
        <w:tc>
          <w:tcPr>
            <w:tcW w:type="dxa" w:w="1837"/>
            <w:vAlign w:val="center"/>
          </w:tcPr>
          <w:p>
            <w:pPr>
              <w:spacing w:line="240" w:lineRule="auto" w:before="0" w:after="0"/>
              <w:ind w:firstLine="0"/>
            </w:pPr>
            <w:r>
              <w:rPr>
                <w:rFonts w:ascii="Times New Roman" w:hAnsi="Times New Roman" w:eastAsia="宋体"/>
                <w:b w:val="0"/>
                <w:color w:val="000000"/>
                <w:sz w:val="24"/>
              </w:rPr>
              <w:t>204.29</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跨日留出</w:t>
            </w:r>
          </w:p>
        </w:tc>
        <w:tc>
          <w:tcPr>
            <w:tcW w:type="dxa" w:w="1837"/>
            <w:vAlign w:val="center"/>
          </w:tcPr>
          <w:p>
            <w:pPr>
              <w:spacing w:line="240" w:lineRule="auto" w:before="0" w:after="0"/>
              <w:ind w:firstLine="0"/>
            </w:pPr>
            <w:r>
              <w:rPr>
                <w:rFonts w:ascii="Times New Roman" w:hAnsi="Times New Roman" w:eastAsia="宋体"/>
                <w:b w:val="0"/>
                <w:color w:val="000000"/>
                <w:sz w:val="24"/>
              </w:rPr>
              <w:t>共享仿射</w:t>
            </w:r>
          </w:p>
        </w:tc>
        <w:tc>
          <w:tcPr>
            <w:tcW w:type="dxa" w:w="1837"/>
            <w:vAlign w:val="center"/>
          </w:tcPr>
          <w:p>
            <w:pPr>
              <w:spacing w:line="240" w:lineRule="auto" w:before="0" w:after="0"/>
              <w:ind w:firstLine="0"/>
            </w:pPr>
            <w:r>
              <w:rPr>
                <w:rFonts w:ascii="Times New Roman" w:hAnsi="Times New Roman" w:eastAsia="宋体"/>
                <w:b w:val="0"/>
                <w:color w:val="000000"/>
                <w:sz w:val="24"/>
              </w:rPr>
              <w:t>96</w:t>
            </w:r>
          </w:p>
        </w:tc>
        <w:tc>
          <w:tcPr>
            <w:tcW w:type="dxa" w:w="1837"/>
            <w:vAlign w:val="center"/>
          </w:tcPr>
          <w:p>
            <w:pPr>
              <w:spacing w:line="240" w:lineRule="auto" w:before="0" w:after="0"/>
              <w:ind w:firstLine="0"/>
            </w:pPr>
            <w:r>
              <w:rPr>
                <w:rFonts w:ascii="Times New Roman" w:hAnsi="Times New Roman" w:eastAsia="宋体"/>
                <w:b w:val="0"/>
                <w:color w:val="000000"/>
                <w:sz w:val="24"/>
              </w:rPr>
              <w:t>217.73</w:t>
            </w:r>
          </w:p>
        </w:tc>
        <w:tc>
          <w:tcPr>
            <w:tcW w:type="dxa" w:w="1837"/>
            <w:vAlign w:val="center"/>
          </w:tcPr>
          <w:p>
            <w:pPr>
              <w:spacing w:line="240" w:lineRule="auto" w:before="0" w:after="0"/>
              <w:ind w:firstLine="0"/>
            </w:pPr>
            <w:r>
              <w:rPr>
                <w:rFonts w:ascii="Times New Roman" w:hAnsi="Times New Roman" w:eastAsia="宋体"/>
                <w:b w:val="0"/>
                <w:color w:val="000000"/>
                <w:sz w:val="24"/>
              </w:rPr>
              <w:t>221.08</w:t>
            </w:r>
          </w:p>
        </w:tc>
      </w:tr>
    </w:tbl>
    <w:p>
      <w:pPr>
        <w:spacing w:after="0"/>
      </w:pPr>
    </w:p>
    <w:p>
      <w:r>
        <w:rPr>
          <w:rFonts w:ascii="Times New Roman" w:hAnsi="Times New Roman" w:eastAsia="宋体"/>
          <w:b w:val="0"/>
          <w:color w:val="000000"/>
          <w:sz w:val="24"/>
        </w:rPr>
        <w:t>共享式在同日探索块的MAE为105.00秒，较中位数参照119.75秒低14.75秒；但跨日MAE为217.73秒，较中位数200.46秒高17.27秒，并且所有跨日预测均高估。未标定SUMO跨日MAE为200.60秒，其接近中位数误差并不说明内部物理状态正确：前者普遍低估，后者普遍高估。结果说明单时段静态映射没有稳定的跨日优势，不能宣称泛化验证成功。</w:t>
      </w:r>
    </w:p>
    <w:p>
      <w:pPr>
        <w:keepNext/>
        <w:ind w:firstLine="0"/>
      </w:pPr>
      <w:r>
        <w:drawing>
          <wp:inline xmlns:a="http://schemas.openxmlformats.org/drawingml/2006/main" xmlns:pic="http://schemas.openxmlformats.org/drawingml/2006/picture">
            <wp:extent cx="5724000" cy="4273920"/>
            <wp:docPr id="2" name="Picture 2"/>
            <wp:cNvGraphicFramePr>
              <a:graphicFrameLocks noChangeAspect="1"/>
            </wp:cNvGraphicFramePr>
            <a:graphic>
              <a:graphicData uri="http://schemas.openxmlformats.org/drawingml/2006/picture">
                <pic:pic>
                  <pic:nvPicPr>
                    <pic:cNvPr id="0" name="validation_holdout.png"/>
                    <pic:cNvPicPr/>
                  </pic:nvPicPr>
                  <pic:blipFill>
                    <a:blip r:embed="rId11"/>
                    <a:stretch>
                      <a:fillRect/>
                    </a:stretch>
                  </pic:blipFill>
                  <pic:spPr>
                    <a:xfrm>
                      <a:off x="0" y="0"/>
                      <a:ext cx="5724000" cy="4273920"/>
                    </a:xfrm>
                    <a:prstGeom prst="rect"/>
                  </pic:spPr>
                </pic:pic>
              </a:graphicData>
            </a:graphic>
          </wp:inline>
        </w:drawing>
      </w:r>
    </w:p>
    <w:p>
      <w:pPr>
        <w:ind w:firstLine="0"/>
        <w:jc w:val="center"/>
      </w:pPr>
      <w:r>
        <w:rPr>
          <w:rFonts w:ascii="Times New Roman" w:hAnsi="Times New Roman" w:eastAsia="宋体"/>
          <w:b w:val="0"/>
          <w:color w:val="000000"/>
          <w:sz w:val="24"/>
        </w:rPr>
        <w:t>图2 跨日平台ETA与冻结参照。AI辅助绘图；点为实际请求对应的约5分钟快照。</w:t>
      </w:r>
    </w:p>
    <w:p>
      <w:r>
        <w:rPr>
          <w:rFonts w:ascii="Times New Roman" w:hAnsi="Times New Roman" w:eastAsia="宋体"/>
          <w:b w:val="0"/>
          <w:color w:val="000000"/>
          <w:sz w:val="24"/>
        </w:rPr>
        <w:t>图2显示18日上午至午后的平台ETA整体低于17日下午训练状态。日期和时段同时变化，现有样本无法把周末日差异与日内变化分离，也不支持将误差下降归因于单一物理原因。</w:t>
      </w:r>
    </w:p>
    <w:p>
      <w:pPr>
        <w:pStyle w:val="Heading2"/>
        <w:spacing w:before="120" w:after="120"/>
        <w:ind w:firstLine="0"/>
      </w:pPr>
      <w:r>
        <w:rPr>
          <w:rFonts w:ascii="Times New Roman" w:hAnsi="Times New Roman" w:eastAsia="宋体"/>
          <w:b/>
          <w:color w:val="000000"/>
          <w:sz w:val="24"/>
        </w:rPr>
        <w:t>4.3 时间步长与物理时空的对应</w:t>
      </w:r>
    </w:p>
    <w:p>
      <w:r>
        <w:rPr>
          <w:rFonts w:ascii="Times New Roman" w:hAnsi="Times New Roman" w:eastAsia="宋体"/>
          <w:b w:val="0"/>
          <w:color w:val="000000"/>
          <w:sz w:val="24"/>
        </w:rPr>
        <w:t>空间上，每条外部边可回溯至原始BD09路线，内部连接属于仿真器根据允许转向生成的几何。时间上，采集的请求/接收时间、五分钟统计桶、仿真的一秒状态更新和五秒轨迹快照分别保存。FCD记录车辆位置和速度等信息[6]，回放仅使用已保存的快照，不插值生成看似连续的实测轨迹。</w:t>
      </w:r>
    </w:p>
    <w:p>
      <w:r>
        <w:rPr>
          <w:rFonts w:ascii="Times New Roman" w:hAnsi="Times New Roman" w:eastAsia="宋体"/>
          <w:b w:val="0"/>
          <w:color w:val="000000"/>
          <w:sz w:val="24"/>
        </w:rPr>
        <w:t>为统一界面显示，最终实验声明t=0对应2026年10月18日12:00:00（北京时间），所以600、720、1200、1800秒可分别标作12:10、12:12、12:20、12:30。这是反事实实验时钟约定，不是从同一时段采集重建出的车流、事故或急救任务；展示必须保留该标记。真实快照仍按自身请求/接收时刻展示，不以实验锚点覆盖。仿真图中横轴优先使用秒，任务到达以实际SUMO输出为准。</w:t>
      </w:r>
    </w:p>
    <w:p>
      <w:r>
        <w:rPr>
          <w:rFonts w:ascii="Times New Roman" w:hAnsi="Times New Roman" w:eastAsia="宋体"/>
          <w:b w:val="0"/>
          <w:color w:val="000000"/>
          <w:sz w:val="24"/>
        </w:rPr>
        <w:t>以上设计保留了明确的时间索引和空间对应，同时承认样本聚合、平台延迟与假设需求带来的信息损失。孪生系统目前是带真实GIS证据和有限观测校验的研究原型，尚未形成现实道路控制的双向闭环。</w:t>
      </w:r>
    </w:p>
    <w:p>
      <w:pPr>
        <w:pStyle w:val="Heading1"/>
        <w:spacing w:before="200" w:after="120"/>
        <w:ind w:firstLine="0"/>
        <w:jc w:val="center"/>
      </w:pPr>
      <w:r>
        <w:rPr>
          <w:rFonts w:ascii="Times New Roman" w:hAnsi="Times New Roman" w:eastAsia="黑体"/>
          <w:b/>
          <w:color w:val="000000"/>
          <w:sz w:val="28"/>
        </w:rPr>
        <w:t>5 情景二：基于当前信息的路径治理A</w:t>
      </w:r>
    </w:p>
    <w:p>
      <w:pPr>
        <w:pStyle w:val="Heading2"/>
        <w:spacing w:before="120" w:after="120"/>
        <w:ind w:firstLine="0"/>
      </w:pPr>
      <w:r>
        <w:rPr>
          <w:rFonts w:ascii="Times New Roman" w:hAnsi="Times New Roman" w:eastAsia="宋体"/>
          <w:b/>
          <w:color w:val="000000"/>
          <w:sz w:val="24"/>
        </w:rPr>
        <w:t>5.1 特殊拥堵条件与可用动作</w:t>
      </w:r>
    </w:p>
    <w:p>
      <w:r>
        <w:rPr>
          <w:rFonts w:ascii="Times New Roman" w:hAnsi="Times New Roman" w:eastAsia="宋体"/>
          <w:b w:val="0"/>
          <w:color w:val="000000"/>
          <w:sz w:val="24"/>
        </w:rPr>
        <w:t>将特殊拥堵抽象为已声明路段在有限时间内限速的事件。主情景在模拟600—1200秒把68.735米上游段限速设为1 m/s；0.5 m/s为更强慢行的敏感性情景，另考察需求增加和事件延长。它们是用于检验机制的工程输入，不是声称现场发生的事故、恶劣天气或已测容量下降。SUMO可变限速机制用于表达这类时变道路约束[7]。</w:t>
      </w:r>
    </w:p>
    <w:p>
      <w:r>
        <w:rPr>
          <w:rFonts w:ascii="Times New Roman" w:hAnsi="Times New Roman" w:eastAsia="宋体"/>
          <w:b w:val="0"/>
          <w:color w:val="000000"/>
          <w:sz w:val="24"/>
        </w:rPr>
        <w:t>动作空间是当前目录中同起点首边、同终点末边的完整简单路径。默认路径必须参与比较，新增候选不能带来新增需求。在车辆或任务的预定释放时刻r_i，仅用已发布、当前生效的速度限制计算：</w:t>
      </w:r>
    </w:p>
    <w:p>
      <w:pPr>
        <w:ind w:firstLine="0"/>
        <w:jc w:val="center"/>
      </w:pPr>
      <w:r>
        <w:rPr>
          <w:rFonts w:ascii="Times New Roman" w:hAnsi="Times New Roman" w:eastAsia="宋体"/>
          <w:b w:val="0"/>
          <w:color w:val="000000"/>
          <w:sz w:val="24"/>
        </w:rPr>
        <w:t>ĉ(P,r</w:t>
      </w:r>
      <w:r>
        <w:rPr>
          <w:rFonts w:ascii="Times New Roman" w:hAnsi="Times New Roman" w:eastAsia="宋体"/>
          <w:b w:val="0"/>
          <w:color w:val="000000"/>
          <w:sz w:val="24"/>
          <w:vertAlign w:val="subscript"/>
        </w:rPr>
        <w:t>i</w:t>
      </w:r>
      <w:r>
        <w:rPr>
          <w:rFonts w:ascii="Times New Roman" w:hAnsi="Times New Roman" w:eastAsia="宋体"/>
          <w:b w:val="0"/>
          <w:color w:val="000000"/>
          <w:sz w:val="24"/>
        </w:rPr>
        <w:t>) = Σ</w:t>
      </w:r>
      <w:r>
        <w:rPr>
          <w:rFonts w:ascii="Times New Roman" w:hAnsi="Times New Roman" w:eastAsia="宋体"/>
          <w:b w:val="0"/>
          <w:color w:val="000000"/>
          <w:sz w:val="24"/>
          <w:vertAlign w:val="subscript"/>
        </w:rPr>
        <w:t>(e∈P)</w:t>
      </w:r>
      <w:r>
        <w:rPr>
          <w:rFonts w:ascii="Times New Roman" w:hAnsi="Times New Roman" w:eastAsia="宋体"/>
          <w:b w:val="0"/>
          <w:color w:val="000000"/>
          <w:sz w:val="24"/>
        </w:rPr>
        <w:t xml:space="preserve"> l</w:t>
      </w:r>
      <w:r>
        <w:rPr>
          <w:rFonts w:ascii="Times New Roman" w:hAnsi="Times New Roman" w:eastAsia="宋体"/>
          <w:b w:val="0"/>
          <w:color w:val="000000"/>
          <w:sz w:val="24"/>
          <w:vertAlign w:val="subscript"/>
        </w:rPr>
        <w:t>e</w:t>
      </w:r>
      <w:r>
        <w:rPr>
          <w:rFonts w:ascii="Times New Roman" w:hAnsi="Times New Roman" w:eastAsia="宋体"/>
          <w:b w:val="0"/>
          <w:color w:val="000000"/>
          <w:sz w:val="24"/>
        </w:rPr>
        <w:t xml:space="preserve"> / ṽ</w:t>
      </w:r>
      <w:r>
        <w:rPr>
          <w:rFonts w:ascii="Times New Roman" w:hAnsi="Times New Roman" w:eastAsia="宋体"/>
          <w:b w:val="0"/>
          <w:color w:val="000000"/>
          <w:sz w:val="24"/>
          <w:vertAlign w:val="subscript"/>
        </w:rPr>
        <w:t>e</w:t>
      </w:r>
      <w:r>
        <w:rPr>
          <w:rFonts w:ascii="Times New Roman" w:hAnsi="Times New Roman" w:eastAsia="宋体"/>
          <w:b w:val="0"/>
          <w:color w:val="000000"/>
          <w:sz w:val="24"/>
        </w:rPr>
        <w:t>(r</w:t>
      </w:r>
      <w:r>
        <w:rPr>
          <w:rFonts w:ascii="Times New Roman" w:hAnsi="Times New Roman" w:eastAsia="宋体"/>
          <w:b w:val="0"/>
          <w:color w:val="000000"/>
          <w:sz w:val="24"/>
          <w:vertAlign w:val="subscript"/>
        </w:rPr>
        <w:t>i</w:t>
      </w:r>
      <w:r>
        <w:rPr>
          <w:rFonts w:ascii="Times New Roman" w:hAnsi="Times New Roman" w:eastAsia="宋体"/>
          <w:b w:val="0"/>
          <w:color w:val="000000"/>
          <w:sz w:val="24"/>
        </w:rPr>
        <w:t>)，P</w:t>
      </w:r>
      <w:r>
        <w:rPr>
          <w:rFonts w:ascii="Times New Roman" w:hAnsi="Times New Roman" w:eastAsia="宋体"/>
          <w:b w:val="0"/>
          <w:color w:val="000000"/>
          <w:sz w:val="24"/>
          <w:vertAlign w:val="subscript"/>
        </w:rPr>
        <w:t>i</w:t>
      </w:r>
      <w:r>
        <w:rPr>
          <w:rFonts w:ascii="Times New Roman" w:hAnsi="Times New Roman" w:eastAsia="宋体"/>
          <w:b w:val="0"/>
          <w:color w:val="000000"/>
          <w:sz w:val="24"/>
          <w:vertAlign w:val="superscript"/>
        </w:rPr>
        <w:t>A</w:t>
      </w:r>
      <w:r>
        <w:rPr>
          <w:rFonts w:ascii="Times New Roman" w:hAnsi="Times New Roman" w:eastAsia="宋体"/>
          <w:b w:val="0"/>
          <w:color w:val="000000"/>
          <w:sz w:val="24"/>
        </w:rPr>
        <w:t xml:space="preserve"> = argmin</w:t>
      </w:r>
      <w:r>
        <w:rPr>
          <w:rFonts w:ascii="Times New Roman" w:hAnsi="Times New Roman" w:eastAsia="宋体"/>
          <w:b w:val="0"/>
          <w:color w:val="000000"/>
          <w:sz w:val="24"/>
          <w:vertAlign w:val="subscript"/>
        </w:rPr>
        <w:t>(P∈𝒫_k)</w:t>
      </w:r>
      <w:r>
        <w:rPr>
          <w:rFonts w:ascii="Times New Roman" w:hAnsi="Times New Roman" w:eastAsia="宋体"/>
          <w:b w:val="0"/>
          <w:color w:val="000000"/>
          <w:sz w:val="24"/>
        </w:rPr>
        <w:t xml:space="preserve"> ĉ(P,r</w:t>
      </w:r>
      <w:r>
        <w:rPr>
          <w:rFonts w:ascii="Times New Roman" w:hAnsi="Times New Roman" w:eastAsia="宋体"/>
          <w:b w:val="0"/>
          <w:color w:val="000000"/>
          <w:sz w:val="24"/>
          <w:vertAlign w:val="subscript"/>
        </w:rPr>
        <w:t>i</w:t>
      </w:r>
      <w:r>
        <w:rPr>
          <w:rFonts w:ascii="Times New Roman" w:hAnsi="Times New Roman" w:eastAsia="宋体"/>
          <w:b w:val="0"/>
          <w:color w:val="000000"/>
          <w:sz w:val="24"/>
        </w:rPr>
        <w:t>)。 （5）</w:t>
      </w:r>
    </w:p>
    <w:p>
      <w:r>
        <w:rPr>
          <w:rFonts w:ascii="Times New Roman" w:hAnsi="Times New Roman" w:eastAsia="宋体"/>
          <w:b w:val="0"/>
          <w:color w:val="000000"/>
          <w:sz w:val="24"/>
        </w:rPr>
        <w:t>同代价保持默认路线，尚未生效的未来事件和未来恢复时刻不进入估计。该代价只含外部几何与当前已知速度，未加入缺乏校准依据的信号及排队预测。因此它是可解释、可审计的局部决策基线，不是全局最优交通分配解。</w:t>
      </w:r>
    </w:p>
    <w:p>
      <w:pPr>
        <w:pStyle w:val="Heading2"/>
        <w:spacing w:before="120" w:after="120"/>
        <w:ind w:firstLine="0"/>
      </w:pPr>
      <w:r>
        <w:rPr>
          <w:rFonts w:ascii="Times New Roman" w:hAnsi="Times New Roman" w:eastAsia="宋体"/>
          <w:b/>
          <w:color w:val="000000"/>
          <w:sz w:val="24"/>
        </w:rPr>
        <w:t>5.2 基准对照与预期作用</w:t>
      </w:r>
    </w:p>
    <w:p>
      <w:r>
        <w:rPr>
          <w:rFonts w:ascii="Times New Roman" w:hAnsi="Times New Roman" w:eastAsia="宋体"/>
          <w:b w:val="0"/>
          <w:color w:val="000000"/>
          <w:sz w:val="24"/>
        </w:rPr>
        <w:t>S2固定组和A组使用同一原始需求序列、同一事件、同一车辆性能和观察终点。两组仅改变发布时的路线选择；已经分配车辆不在路上被瞬移或任意切换到不同吸附起点。弱慢行下绕行多出的距离可能超过限速段成本，A应保持默认；强慢行下备选成本可能更低。是否减少最终系统时间须由实际微观结果验证，不能由路径代价公式直接宣布。</w:t>
      </w:r>
    </w:p>
    <w:p>
      <w:r>
        <w:rPr>
          <w:rFonts w:ascii="Times New Roman" w:hAnsi="Times New Roman" w:eastAsia="宋体"/>
          <w:b w:val="0"/>
          <w:color w:val="000000"/>
          <w:sz w:val="24"/>
        </w:rPr>
        <w:t>已有首轮工程试验在1 m/s条件下没有改道，结果无变化；0.5 m/s条件下出现改道。该负结果保留在项目证据中，并推动最终协议报告全部预设场景，而不是只展示有改善的组合。本章算法实现由AI辅助，最终数值见第7章的新一轮独立留档实验。</w:t>
      </w:r>
    </w:p>
    <w:p>
      <w:pPr>
        <w:pStyle w:val="Heading1"/>
        <w:spacing w:before="200" w:after="120"/>
        <w:ind w:firstLine="0"/>
        <w:jc w:val="center"/>
      </w:pPr>
      <w:r>
        <w:rPr>
          <w:rFonts w:ascii="Times New Roman" w:hAnsi="Times New Roman" w:eastAsia="黑体"/>
          <w:b/>
          <w:color w:val="000000"/>
          <w:sz w:val="28"/>
        </w:rPr>
        <w:t>6 情景三：任务感知的有界源端协同B</w:t>
      </w:r>
    </w:p>
    <w:p>
      <w:pPr>
        <w:pStyle w:val="Heading2"/>
        <w:spacing w:before="120" w:after="120"/>
        <w:ind w:firstLine="0"/>
      </w:pPr>
      <w:r>
        <w:rPr>
          <w:rFonts w:ascii="Times New Roman" w:hAnsi="Times New Roman" w:eastAsia="宋体"/>
          <w:b/>
          <w:color w:val="000000"/>
          <w:sz w:val="24"/>
        </w:rPr>
        <w:t>6.1 任务状态与协调权限</w:t>
      </w:r>
    </w:p>
    <w:p>
      <w:r>
        <w:rPr>
          <w:rFonts w:ascii="Times New Roman" w:hAnsi="Times New Roman" w:eastAsia="宋体"/>
          <w:b w:val="0"/>
          <w:color w:val="000000"/>
          <w:sz w:val="24"/>
        </w:rPr>
        <w:t>S3在与S2相同的普通交通需求上，增加720秒发布的一次医院外围接驳任务。任务车与普通车使用同一车辆类型、道路权限和安全约束；没有额外最高速度、闯灯规则或车道特权。任务目标RJ_YJ为瑞金二路—永嘉路附近公共道路接驳点，未验证院内急救入口，因此研究对象是到达外围通道的保障时间，不是临床救援完成时间。</w:t>
      </w:r>
    </w:p>
    <w:p>
      <w:r>
        <w:rPr>
          <w:rFonts w:ascii="Times New Roman" w:hAnsi="Times New Roman" w:eastAsia="宋体"/>
          <w:b w:val="0"/>
          <w:color w:val="000000"/>
          <w:sz w:val="24"/>
        </w:rPr>
        <w:t>B在A的路线选择之上引入源端有界放行：只有任务真实发布后，才根据其当前已通过区段和剩余路线，暂缓尚未进入路网且与剩余走廊相交的普通车辆。该权限对应假设可协调的出发点或车队，不能默认城市全部私人车辆都能被统一延迟。普通车辆的原始释放时间不改变，所有被延迟时间作为真实控制代价记入评价。</w:t>
      </w:r>
    </w:p>
    <w:p>
      <w:pPr>
        <w:pStyle w:val="Heading2"/>
        <w:spacing w:before="120" w:after="120"/>
        <w:ind w:firstLine="0"/>
      </w:pPr>
      <w:r>
        <w:rPr>
          <w:rFonts w:ascii="Times New Roman" w:hAnsi="Times New Roman" w:eastAsia="宋体"/>
          <w:b/>
          <w:color w:val="000000"/>
          <w:sz w:val="24"/>
        </w:rPr>
        <w:t>6.2 有界控制与因果约束</w:t>
      </w:r>
    </w:p>
    <w:p>
      <w:r>
        <w:rPr>
          <w:rFonts w:ascii="Times New Roman" w:hAnsi="Times New Roman" w:eastAsia="宋体"/>
          <w:b w:val="0"/>
          <w:color w:val="000000"/>
          <w:sz w:val="24"/>
        </w:rPr>
        <w:t>设任务发布时间r_a、剩余边集合R_a(t)、普通车候选路线P_i、该车累计源端控制等待h_i(t)。仅当任务已发布且未完成、t−r_a&lt;180秒、h_i(t)&lt;45秒，并且P_i∩R_a(t)非空时允许暂缓放行；任一条件不成立则解除控制。规则可表示为：</w:t>
      </w:r>
    </w:p>
    <w:p>
      <w:pPr>
        <w:ind w:firstLine="0"/>
        <w:jc w:val="center"/>
      </w:pPr>
      <w:r>
        <w:rPr>
          <w:rFonts w:ascii="Times New Roman" w:hAnsi="Times New Roman" w:eastAsia="宋体"/>
          <w:b w:val="0"/>
          <w:color w:val="000000"/>
          <w:sz w:val="24"/>
        </w:rPr>
        <w:t>u</w:t>
      </w:r>
      <w:r>
        <w:rPr>
          <w:rFonts w:ascii="Times New Roman" w:hAnsi="Times New Roman" w:eastAsia="宋体"/>
          <w:b w:val="0"/>
          <w:color w:val="000000"/>
          <w:sz w:val="24"/>
          <w:vertAlign w:val="subscript"/>
        </w:rPr>
        <w:t>i</w:t>
      </w:r>
      <w:r>
        <w:rPr>
          <w:rFonts w:ascii="Times New Roman" w:hAnsi="Times New Roman" w:eastAsia="宋体"/>
          <w:b w:val="0"/>
          <w:color w:val="000000"/>
          <w:sz w:val="24"/>
        </w:rPr>
        <w:t>(t)=1{任务活跃}·1{t−r</w:t>
      </w:r>
      <w:r>
        <w:rPr>
          <w:rFonts w:ascii="Times New Roman" w:hAnsi="Times New Roman" w:eastAsia="宋体"/>
          <w:b w:val="0"/>
          <w:color w:val="000000"/>
          <w:sz w:val="24"/>
          <w:vertAlign w:val="subscript"/>
        </w:rPr>
        <w:t>a</w:t>
      </w:r>
      <w:r>
        <w:rPr>
          <w:rFonts w:ascii="Times New Roman" w:hAnsi="Times New Roman" w:eastAsia="宋体"/>
          <w:b w:val="0"/>
          <w:color w:val="000000"/>
          <w:sz w:val="24"/>
        </w:rPr>
        <w:t>&lt;180}·1{h</w:t>
      </w:r>
      <w:r>
        <w:rPr>
          <w:rFonts w:ascii="Times New Roman" w:hAnsi="Times New Roman" w:eastAsia="宋体"/>
          <w:b w:val="0"/>
          <w:color w:val="000000"/>
          <w:sz w:val="24"/>
          <w:vertAlign w:val="subscript"/>
        </w:rPr>
        <w:t>i</w:t>
      </w:r>
      <w:r>
        <w:rPr>
          <w:rFonts w:ascii="Times New Roman" w:hAnsi="Times New Roman" w:eastAsia="宋体"/>
          <w:b w:val="0"/>
          <w:color w:val="000000"/>
          <w:sz w:val="24"/>
        </w:rPr>
        <w:t>(t)&lt;45}·1{P</w:t>
      </w:r>
      <w:r>
        <w:rPr>
          <w:rFonts w:ascii="Times New Roman" w:hAnsi="Times New Roman" w:eastAsia="宋体"/>
          <w:b w:val="0"/>
          <w:color w:val="000000"/>
          <w:sz w:val="24"/>
          <w:vertAlign w:val="subscript"/>
        </w:rPr>
        <w:t>i</w:t>
      </w:r>
      <w:r>
        <w:rPr>
          <w:rFonts w:ascii="Times New Roman" w:hAnsi="Times New Roman" w:eastAsia="宋体"/>
          <w:b w:val="0"/>
          <w:color w:val="000000"/>
          <w:sz w:val="24"/>
        </w:rPr>
        <w:t>∩R</w:t>
      </w:r>
      <w:r>
        <w:rPr>
          <w:rFonts w:ascii="Times New Roman" w:hAnsi="Times New Roman" w:eastAsia="宋体"/>
          <w:b w:val="0"/>
          <w:color w:val="000000"/>
          <w:sz w:val="24"/>
          <w:vertAlign w:val="subscript"/>
        </w:rPr>
        <w:t>a</w:t>
      </w:r>
      <w:r>
        <w:rPr>
          <w:rFonts w:ascii="Times New Roman" w:hAnsi="Times New Roman" w:eastAsia="宋体"/>
          <w:b w:val="0"/>
          <w:color w:val="000000"/>
          <w:sz w:val="24"/>
        </w:rPr>
        <w:t>(t)≠∅}。 （6）</w:t>
      </w:r>
    </w:p>
    <w:p>
      <w:r>
        <w:rPr>
          <w:rFonts w:ascii="Times New Roman" w:hAnsi="Times New Roman" w:eastAsia="宋体"/>
          <w:b w:val="0"/>
          <w:color w:val="000000"/>
          <w:sz w:val="24"/>
        </w:rPr>
        <w:t>式中u_i=1表示本步暂缓进入路网。任务驶过相关冲突段或到达后，相应普通车辆及时解除等待。控制只作用于任务发布后提出、尚未入网的普通需求，不对已在网车辆强制停车、逆行或取消跟驰安全约束。单车45秒上限只限制源端控制等待，不限制后续排队变化造成的总行程损失；180秒协调窗口限制控制持续时间。这些上限是公开工程参数，没有依据本轮实验正收益事后调优。</w:t>
      </w:r>
    </w:p>
    <w:p>
      <w:r>
        <w:rPr>
          <w:rFonts w:ascii="Times New Roman" w:hAnsi="Times New Roman" w:eastAsia="宋体"/>
          <w:b w:val="0"/>
          <w:color w:val="000000"/>
          <w:sz w:val="24"/>
        </w:rPr>
        <w:t>每秒推进中按“读取已到达发布时刻的任务—读取当前车辆状态—计算剩余走廊—决定源端放行—推进仿真—保存状态”执行。未来任务不能提前减少普通交通，任务已通过的边也不继续被视为冲突走廊。在线车辆添加和状态查询由SUMO控制接口实现[8]。</w:t>
      </w:r>
    </w:p>
    <w:p>
      <w:pPr>
        <w:pStyle w:val="Heading2"/>
        <w:spacing w:before="120" w:after="120"/>
        <w:ind w:firstLine="0"/>
      </w:pPr>
      <w:r>
        <w:rPr>
          <w:rFonts w:ascii="Times New Roman" w:hAnsi="Times New Roman" w:eastAsia="宋体"/>
          <w:b/>
          <w:color w:val="000000"/>
          <w:sz w:val="24"/>
        </w:rPr>
        <w:t>6.3 协同评价与潜在反作用</w:t>
      </w:r>
    </w:p>
    <w:p>
      <w:r>
        <w:rPr>
          <w:rFonts w:ascii="Times New Roman" w:hAnsi="Times New Roman" w:eastAsia="宋体"/>
          <w:b w:val="0"/>
          <w:color w:val="000000"/>
          <w:sz w:val="24"/>
        </w:rPr>
        <w:t>B的目标不是无代价地让任务更快，而是显式比较任务保障与普通交通成本。令任务时间E=a_a−r_a，普通交通成本C=Σ_i(a_i−r_i)。相对于A分别报告ΔE=E_B−E_A和ΔC=C_B−C_A：前者为负说明任务更早到达，后者为正说明普通交通承担更多时间。若B没有改善任务时间，甚至两项都变差，应如实判定该场景不支持该控制动作。</w:t>
      </w:r>
    </w:p>
    <w:p>
      <w:r>
        <w:rPr>
          <w:rFonts w:ascii="Times New Roman" w:hAnsi="Times New Roman" w:eastAsia="宋体"/>
          <w:b w:val="0"/>
          <w:color w:val="000000"/>
          <w:sz w:val="24"/>
        </w:rPr>
        <w:t>有限源端协调可能减少任务将要遭遇的后续竞争，但无法消除任务发布前已经形成的队列，也无法创造不存在的旁路。它还可能因统一恢复放行形成新的流量团簇。因此B并非对所有拥堵强度或需求都必然优于A；必须保留无收益和不利结果，才能判断适用范围。</w:t>
      </w:r>
    </w:p>
    <w:p>
      <w:pPr>
        <w:pStyle w:val="Heading1"/>
        <w:spacing w:before="200" w:after="120"/>
        <w:ind w:firstLine="0"/>
        <w:jc w:val="center"/>
      </w:pPr>
      <w:r>
        <w:rPr>
          <w:rFonts w:ascii="Times New Roman" w:hAnsi="Times New Roman" w:eastAsia="黑体"/>
          <w:b/>
          <w:color w:val="000000"/>
          <w:sz w:val="28"/>
        </w:rPr>
        <w:t>7 仿真实验、结果与证据对账</w:t>
      </w:r>
    </w:p>
    <w:p>
      <w:pPr>
        <w:pStyle w:val="Heading2"/>
        <w:spacing w:before="120" w:after="120"/>
        <w:ind w:firstLine="0"/>
      </w:pPr>
      <w:r>
        <w:rPr>
          <w:rFonts w:ascii="Times New Roman" w:hAnsi="Times New Roman" w:eastAsia="宋体"/>
          <w:b/>
          <w:color w:val="000000"/>
          <w:sz w:val="24"/>
        </w:rPr>
        <w:t>7.1 固定协议与完整成本</w:t>
      </w:r>
    </w:p>
    <w:p>
      <w:r>
        <w:rPr>
          <w:rFonts w:ascii="Times New Roman" w:hAnsi="Times New Roman" w:eastAsia="宋体"/>
          <w:b w:val="0"/>
          <w:color w:val="000000"/>
          <w:sz w:val="24"/>
        </w:rPr>
        <w:t>统一扩展路网和车辆参数下，对一般交通S1、特殊拥堵S2固定/A、任务条件S3固定/A/B进行对照。主设置为六OD各30秒一辆；一次只改变需求为15秒、慢行速度为0.5 m/s或慢行持续时间为900秒进行敏感性分析。普通交通在前1200秒提出需求，观察到1800秒；参数、配置摘要、运行源码和输入摘要随各组保存。</w:t>
      </w:r>
    </w:p>
    <w:p>
      <w:r>
        <w:rPr>
          <w:rFonts w:ascii="Times New Roman" w:hAnsi="Times New Roman" w:eastAsia="宋体"/>
          <w:b w:val="0"/>
          <w:color w:val="000000"/>
          <w:sz w:val="24"/>
        </w:rPr>
        <w:t>对车辆i，原始释放、源端放行、实际入网、到达时刻分别为r_i、s_i、d_i、a_i。完整成本分解为：</w:t>
      </w:r>
    </w:p>
    <w:p>
      <w:pPr>
        <w:ind w:firstLine="0"/>
        <w:jc w:val="center"/>
      </w:pPr>
      <w:r>
        <w:rPr>
          <w:rFonts w:ascii="Times New Roman" w:hAnsi="Times New Roman" w:eastAsia="宋体"/>
          <w:b w:val="0"/>
          <w:color w:val="000000"/>
          <w:sz w:val="24"/>
        </w:rPr>
        <w:t>T</w:t>
      </w:r>
      <w:r>
        <w:rPr>
          <w:rFonts w:ascii="Times New Roman" w:hAnsi="Times New Roman" w:eastAsia="宋体"/>
          <w:b w:val="0"/>
          <w:color w:val="000000"/>
          <w:sz w:val="24"/>
          <w:vertAlign w:val="subscript"/>
        </w:rPr>
        <w:t>i</w:t>
      </w:r>
      <w:r>
        <w:rPr>
          <w:rFonts w:ascii="Times New Roman" w:hAnsi="Times New Roman" w:eastAsia="宋体"/>
          <w:b w:val="0"/>
          <w:color w:val="000000"/>
          <w:sz w:val="24"/>
        </w:rPr>
        <w:t xml:space="preserve"> = a</w:t>
      </w:r>
      <w:r>
        <w:rPr>
          <w:rFonts w:ascii="Times New Roman" w:hAnsi="Times New Roman" w:eastAsia="宋体"/>
          <w:b w:val="0"/>
          <w:color w:val="000000"/>
          <w:sz w:val="24"/>
          <w:vertAlign w:val="subscript"/>
        </w:rPr>
        <w:t>i</w:t>
      </w:r>
      <w:r>
        <w:rPr>
          <w:rFonts w:ascii="Times New Roman" w:hAnsi="Times New Roman" w:eastAsia="宋体"/>
          <w:b w:val="0"/>
          <w:color w:val="000000"/>
          <w:sz w:val="24"/>
        </w:rPr>
        <w:t>−r</w:t>
      </w:r>
      <w:r>
        <w:rPr>
          <w:rFonts w:ascii="Times New Roman" w:hAnsi="Times New Roman" w:eastAsia="宋体"/>
          <w:b w:val="0"/>
          <w:color w:val="000000"/>
          <w:sz w:val="24"/>
          <w:vertAlign w:val="subscript"/>
        </w:rPr>
        <w:t>i</w:t>
      </w:r>
      <w:r>
        <w:rPr>
          <w:rFonts w:ascii="Times New Roman" w:hAnsi="Times New Roman" w:eastAsia="宋体"/>
          <w:b w:val="0"/>
          <w:color w:val="000000"/>
          <w:sz w:val="24"/>
        </w:rPr>
        <w:t xml:space="preserve"> = (s</w:t>
      </w:r>
      <w:r>
        <w:rPr>
          <w:rFonts w:ascii="Times New Roman" w:hAnsi="Times New Roman" w:eastAsia="宋体"/>
          <w:b w:val="0"/>
          <w:color w:val="000000"/>
          <w:sz w:val="24"/>
          <w:vertAlign w:val="subscript"/>
        </w:rPr>
        <w:t>i</w:t>
      </w:r>
      <w:r>
        <w:rPr>
          <w:rFonts w:ascii="Times New Roman" w:hAnsi="Times New Roman" w:eastAsia="宋体"/>
          <w:b w:val="0"/>
          <w:color w:val="000000"/>
          <w:sz w:val="24"/>
        </w:rPr>
        <w:t>−r</w:t>
      </w:r>
      <w:r>
        <w:rPr>
          <w:rFonts w:ascii="Times New Roman" w:hAnsi="Times New Roman" w:eastAsia="宋体"/>
          <w:b w:val="0"/>
          <w:color w:val="000000"/>
          <w:sz w:val="24"/>
          <w:vertAlign w:val="subscript"/>
        </w:rPr>
        <w:t>i</w:t>
      </w:r>
      <w:r>
        <w:rPr>
          <w:rFonts w:ascii="Times New Roman" w:hAnsi="Times New Roman" w:eastAsia="宋体"/>
          <w:b w:val="0"/>
          <w:color w:val="000000"/>
          <w:sz w:val="24"/>
        </w:rPr>
        <w:t>)+(d</w:t>
      </w:r>
      <w:r>
        <w:rPr>
          <w:rFonts w:ascii="Times New Roman" w:hAnsi="Times New Roman" w:eastAsia="宋体"/>
          <w:b w:val="0"/>
          <w:color w:val="000000"/>
          <w:sz w:val="24"/>
          <w:vertAlign w:val="subscript"/>
        </w:rPr>
        <w:t>i</w:t>
      </w:r>
      <w:r>
        <w:rPr>
          <w:rFonts w:ascii="Times New Roman" w:hAnsi="Times New Roman" w:eastAsia="宋体"/>
          <w:b w:val="0"/>
          <w:color w:val="000000"/>
          <w:sz w:val="24"/>
        </w:rPr>
        <w:t>−s</w:t>
      </w:r>
      <w:r>
        <w:rPr>
          <w:rFonts w:ascii="Times New Roman" w:hAnsi="Times New Roman" w:eastAsia="宋体"/>
          <w:b w:val="0"/>
          <w:color w:val="000000"/>
          <w:sz w:val="24"/>
          <w:vertAlign w:val="subscript"/>
        </w:rPr>
        <w:t>i</w:t>
      </w:r>
      <w:r>
        <w:rPr>
          <w:rFonts w:ascii="Times New Roman" w:hAnsi="Times New Roman" w:eastAsia="宋体"/>
          <w:b w:val="0"/>
          <w:color w:val="000000"/>
          <w:sz w:val="24"/>
        </w:rPr>
        <w:t>)+(a</w:t>
      </w:r>
      <w:r>
        <w:rPr>
          <w:rFonts w:ascii="Times New Roman" w:hAnsi="Times New Roman" w:eastAsia="宋体"/>
          <w:b w:val="0"/>
          <w:color w:val="000000"/>
          <w:sz w:val="24"/>
          <w:vertAlign w:val="subscript"/>
        </w:rPr>
        <w:t>i</w:t>
      </w:r>
      <w:r>
        <w:rPr>
          <w:rFonts w:ascii="Times New Roman" w:hAnsi="Times New Roman" w:eastAsia="宋体"/>
          <w:b w:val="0"/>
          <w:color w:val="000000"/>
          <w:sz w:val="24"/>
        </w:rPr>
        <w:t>−d</w:t>
      </w:r>
      <w:r>
        <w:rPr>
          <w:rFonts w:ascii="Times New Roman" w:hAnsi="Times New Roman" w:eastAsia="宋体"/>
          <w:b w:val="0"/>
          <w:color w:val="000000"/>
          <w:sz w:val="24"/>
          <w:vertAlign w:val="subscript"/>
        </w:rPr>
        <w:t>i</w:t>
      </w:r>
      <w:r>
        <w:rPr>
          <w:rFonts w:ascii="Times New Roman" w:hAnsi="Times New Roman" w:eastAsia="宋体"/>
          <w:b w:val="0"/>
          <w:color w:val="000000"/>
          <w:sz w:val="24"/>
        </w:rPr>
        <w:t>)。 （7）</w:t>
      </w:r>
    </w:p>
    <w:p>
      <w:r>
        <w:rPr>
          <w:rFonts w:ascii="Times New Roman" w:hAnsi="Times New Roman" w:eastAsia="宋体"/>
          <w:b w:val="0"/>
          <w:color w:val="000000"/>
          <w:sz w:val="24"/>
        </w:rPr>
        <w:t>三项依次为源端协调等待、仿真入网等待和在网时间。SUMO TripInfo区分实际入网、入网延迟与到达时刻，未到达车辆需要额外输出配置[9]；本文另保留原始r_i，避免将源端等待从总成本中删除。观察终点H仍未完成者记a_i=+∞，采用已累计时间min(a_i,H)−r_i即H−r_i，并单列未完成数量，不把删掉未完成样本后的平均值当作全需求表现。</w:t>
      </w:r>
    </w:p>
    <w:p>
      <w:r>
        <w:rPr>
          <w:rFonts w:ascii="Times New Roman" w:hAnsi="Times New Roman" w:eastAsia="宋体"/>
          <w:b w:val="0"/>
          <w:color w:val="000000"/>
          <w:sz w:val="24"/>
        </w:rPr>
        <w:t>每个配对比较先检查普通需求列表、事件、基础物理参数和原始释放时刻一致，再计算变化；S3各策略加入完全相同的任务。碰撞、传送、丢弃非零或者数量不守恒时，该组不得进入治理效果结论。确定性工程设置中的参数敏感性是稳健性检查，不能冒充随机重复试验及显著性检验。</w:t>
      </w:r>
    </w:p>
    <w:p>
      <w:r>
        <w:rPr>
          <w:rFonts w:ascii="Times New Roman" w:hAnsi="Times New Roman" w:eastAsia="宋体"/>
          <w:b w:val="0"/>
          <w:color w:val="000000"/>
          <w:sz w:val="24"/>
        </w:rPr>
        <w:t>本节实验运行、统计和解释草稿由AI辅助完成，输入与实际SUMO产物均留档。最终独立运行22组：2组S1、8组S2和12组S3。各组全部需求到达，未完成、碰撞、传送、丢弃均为0；比较前核验需求、事件及物理参数摘要。下表单位“车秒”是所有普通车完整时间之和，任务时间另列，避免将不同目标合成任意权重的单一分数。</w:t>
      </w:r>
    </w:p>
    <w:tbl>
      <w:tblPr>
        <w:tblStyle w:val="TableGrid"/>
        <w:tblW w:type="auto" w:w="0"/>
        <w:jc w:val="center"/>
        <w:tblLook w:firstColumn="1" w:firstRow="1" w:lastColumn="0" w:lastRow="0" w:noHBand="0" w:noVBand="1" w:val="04A0"/>
      </w:tblPr>
      <w:tblGrid>
        <w:gridCol w:w="2296"/>
        <w:gridCol w:w="2296"/>
        <w:gridCol w:w="2296"/>
        <w:gridCol w:w="2296"/>
      </w:tblGrid>
      <w:tr>
        <w:trPr>
          <w:cantSplit/>
          <w:tblHeader/>
        </w:trPr>
        <w:tc>
          <w:tcPr>
            <w:tcW w:type="dxa" w:w="2296"/>
            <w:vAlign w:val="center"/>
          </w:tcPr>
          <w:p>
            <w:pPr>
              <w:spacing w:line="240" w:lineRule="auto" w:before="0" w:after="0"/>
              <w:ind w:firstLine="0"/>
            </w:pPr>
            <w:r>
              <w:rPr>
                <w:rFonts w:ascii="Times New Roman" w:hAnsi="Times New Roman" w:eastAsia="宋体"/>
                <w:b/>
                <w:color w:val="000000"/>
                <w:sz w:val="24"/>
              </w:rPr>
              <w:t>S1设置</w:t>
            </w:r>
          </w:p>
        </w:tc>
        <w:tc>
          <w:tcPr>
            <w:tcW w:type="dxa" w:w="2296"/>
            <w:vAlign w:val="center"/>
          </w:tcPr>
          <w:p>
            <w:pPr>
              <w:spacing w:line="240" w:lineRule="auto" w:before="0" w:after="0"/>
              <w:ind w:firstLine="0"/>
            </w:pPr>
            <w:r>
              <w:rPr>
                <w:rFonts w:ascii="Times New Roman" w:hAnsi="Times New Roman" w:eastAsia="宋体"/>
                <w:b/>
                <w:color w:val="000000"/>
                <w:sz w:val="24"/>
              </w:rPr>
              <w:t>普通车辆数</w:t>
            </w:r>
          </w:p>
        </w:tc>
        <w:tc>
          <w:tcPr>
            <w:tcW w:type="dxa" w:w="2296"/>
            <w:vAlign w:val="center"/>
          </w:tcPr>
          <w:p>
            <w:pPr>
              <w:spacing w:line="240" w:lineRule="auto" w:before="0" w:after="0"/>
              <w:ind w:firstLine="0"/>
            </w:pPr>
            <w:r>
              <w:rPr>
                <w:rFonts w:ascii="Times New Roman" w:hAnsi="Times New Roman" w:eastAsia="宋体"/>
                <w:b/>
                <w:color w:val="000000"/>
                <w:sz w:val="24"/>
              </w:rPr>
              <w:t>完整时间/车秒</w:t>
            </w:r>
          </w:p>
        </w:tc>
        <w:tc>
          <w:tcPr>
            <w:tcW w:type="dxa" w:w="2296"/>
            <w:vAlign w:val="center"/>
          </w:tcPr>
          <w:p>
            <w:pPr>
              <w:spacing w:line="240" w:lineRule="auto" w:before="0" w:after="0"/>
              <w:ind w:firstLine="0"/>
            </w:pPr>
            <w:r>
              <w:rPr>
                <w:rFonts w:ascii="Times New Roman" w:hAnsi="Times New Roman" w:eastAsia="宋体"/>
                <w:b/>
                <w:color w:val="000000"/>
                <w:sz w:val="24"/>
              </w:rPr>
              <w:t>入网等待/车秒</w:t>
            </w:r>
          </w:p>
        </w:tc>
      </w:tr>
      <w:tr>
        <w:trPr>
          <w:cantSplit/>
        </w:trPr>
        <w:tc>
          <w:tcPr>
            <w:tcW w:type="dxa" w:w="2296"/>
            <w:vAlign w:val="center"/>
          </w:tcPr>
          <w:p>
            <w:pPr>
              <w:spacing w:line="240" w:lineRule="auto" w:before="0" w:after="0"/>
              <w:ind w:firstLine="0"/>
            </w:pPr>
            <w:r>
              <w:rPr>
                <w:rFonts w:ascii="Times New Roman" w:hAnsi="Times New Roman" w:eastAsia="宋体"/>
                <w:b w:val="0"/>
                <w:color w:val="000000"/>
                <w:sz w:val="24"/>
              </w:rPr>
              <w:t>主设置</w:t>
            </w:r>
          </w:p>
        </w:tc>
        <w:tc>
          <w:tcPr>
            <w:tcW w:type="dxa" w:w="2296"/>
            <w:vAlign w:val="center"/>
          </w:tcPr>
          <w:p>
            <w:pPr>
              <w:spacing w:line="240" w:lineRule="auto" w:before="0" w:after="0"/>
              <w:ind w:firstLine="0"/>
            </w:pPr>
            <w:r>
              <w:rPr>
                <w:rFonts w:ascii="Times New Roman" w:hAnsi="Times New Roman" w:eastAsia="宋体"/>
                <w:b w:val="0"/>
                <w:color w:val="000000"/>
                <w:sz w:val="24"/>
              </w:rPr>
              <w:t>240</w:t>
            </w:r>
          </w:p>
        </w:tc>
        <w:tc>
          <w:tcPr>
            <w:tcW w:type="dxa" w:w="2296"/>
            <w:vAlign w:val="center"/>
          </w:tcPr>
          <w:p>
            <w:pPr>
              <w:spacing w:line="240" w:lineRule="auto" w:before="0" w:after="0"/>
              <w:ind w:firstLine="0"/>
            </w:pPr>
            <w:r>
              <w:rPr>
                <w:rFonts w:ascii="Times New Roman" w:hAnsi="Times New Roman" w:eastAsia="宋体"/>
                <w:b w:val="0"/>
                <w:color w:val="000000"/>
                <w:sz w:val="24"/>
              </w:rPr>
              <w:t>40,429</w:t>
            </w:r>
          </w:p>
        </w:tc>
        <w:tc>
          <w:tcPr>
            <w:tcW w:type="dxa" w:w="2296"/>
            <w:vAlign w:val="center"/>
          </w:tcPr>
          <w:p>
            <w:pPr>
              <w:spacing w:line="240" w:lineRule="auto" w:before="0" w:after="0"/>
              <w:ind w:firstLine="0"/>
            </w:pPr>
            <w:r>
              <w:rPr>
                <w:rFonts w:ascii="Times New Roman" w:hAnsi="Times New Roman" w:eastAsia="宋体"/>
                <w:b w:val="0"/>
                <w:color w:val="000000"/>
                <w:sz w:val="24"/>
              </w:rPr>
              <w:t>80</w:t>
            </w:r>
          </w:p>
        </w:tc>
      </w:tr>
      <w:tr>
        <w:trPr>
          <w:cantSplit/>
        </w:trPr>
        <w:tc>
          <w:tcPr>
            <w:tcW w:type="dxa" w:w="2296"/>
            <w:vAlign w:val="center"/>
          </w:tcPr>
          <w:p>
            <w:pPr>
              <w:spacing w:line="240" w:lineRule="auto" w:before="0" w:after="0"/>
              <w:ind w:firstLine="0"/>
            </w:pPr>
            <w:r>
              <w:rPr>
                <w:rFonts w:ascii="Times New Roman" w:hAnsi="Times New Roman" w:eastAsia="宋体"/>
                <w:b w:val="0"/>
                <w:color w:val="000000"/>
                <w:sz w:val="24"/>
              </w:rPr>
              <w:t>需求加倍</w:t>
            </w:r>
          </w:p>
        </w:tc>
        <w:tc>
          <w:tcPr>
            <w:tcW w:type="dxa" w:w="2296"/>
            <w:vAlign w:val="center"/>
          </w:tcPr>
          <w:p>
            <w:pPr>
              <w:spacing w:line="240" w:lineRule="auto" w:before="0" w:after="0"/>
              <w:ind w:firstLine="0"/>
            </w:pPr>
            <w:r>
              <w:rPr>
                <w:rFonts w:ascii="Times New Roman" w:hAnsi="Times New Roman" w:eastAsia="宋体"/>
                <w:b w:val="0"/>
                <w:color w:val="000000"/>
                <w:sz w:val="24"/>
              </w:rPr>
              <w:t>480</w:t>
            </w:r>
          </w:p>
        </w:tc>
        <w:tc>
          <w:tcPr>
            <w:tcW w:type="dxa" w:w="2296"/>
            <w:vAlign w:val="center"/>
          </w:tcPr>
          <w:p>
            <w:pPr>
              <w:spacing w:line="240" w:lineRule="auto" w:before="0" w:after="0"/>
              <w:ind w:firstLine="0"/>
            </w:pPr>
            <w:r>
              <w:rPr>
                <w:rFonts w:ascii="Times New Roman" w:hAnsi="Times New Roman" w:eastAsia="宋体"/>
                <w:b w:val="0"/>
                <w:color w:val="000000"/>
                <w:sz w:val="24"/>
              </w:rPr>
              <w:t>81,077</w:t>
            </w:r>
          </w:p>
        </w:tc>
        <w:tc>
          <w:tcPr>
            <w:tcW w:type="dxa" w:w="2296"/>
            <w:vAlign w:val="center"/>
          </w:tcPr>
          <w:p>
            <w:pPr>
              <w:spacing w:line="240" w:lineRule="auto" w:before="0" w:after="0"/>
              <w:ind w:firstLine="0"/>
            </w:pPr>
            <w:r>
              <w:rPr>
                <w:rFonts w:ascii="Times New Roman" w:hAnsi="Times New Roman" w:eastAsia="宋体"/>
                <w:b w:val="0"/>
                <w:color w:val="000000"/>
                <w:sz w:val="24"/>
              </w:rPr>
              <w:t>160</w:t>
            </w:r>
          </w:p>
        </w:tc>
      </w:tr>
    </w:tbl>
    <w:p>
      <w:pPr>
        <w:spacing w:after="0"/>
      </w:pPr>
    </w:p>
    <w:p>
      <w:r>
        <w:rPr>
          <w:rFonts w:ascii="Times New Roman" w:hAnsi="Times New Roman" w:eastAsia="宋体"/>
          <w:b w:val="0"/>
          <w:color w:val="000000"/>
          <w:sz w:val="24"/>
        </w:rPr>
        <w:t>S2固定路径与A对照（所有组均计入等待）：</w:t>
      </w:r>
    </w:p>
    <w:tbl>
      <w:tblPr>
        <w:tblStyle w:val="TableGrid"/>
        <w:tblW w:type="auto" w:w="0"/>
        <w:jc w:val="center"/>
        <w:tblLook w:firstColumn="1" w:firstRow="1" w:lastColumn="0" w:lastRow="0" w:noHBand="0" w:noVBand="1" w:val="04A0"/>
      </w:tblPr>
      <w:tblGrid>
        <w:gridCol w:w="1837"/>
        <w:gridCol w:w="1837"/>
        <w:gridCol w:w="1837"/>
        <w:gridCol w:w="1837"/>
        <w:gridCol w:w="1837"/>
      </w:tblGrid>
      <w:tr>
        <w:trPr>
          <w:cantSplit/>
          <w:tblHeader/>
        </w:trPr>
        <w:tc>
          <w:tcPr>
            <w:tcW w:type="dxa" w:w="1837"/>
            <w:vAlign w:val="center"/>
          </w:tcPr>
          <w:p>
            <w:pPr>
              <w:spacing w:line="240" w:lineRule="auto" w:before="0" w:after="0"/>
              <w:ind w:firstLine="0"/>
            </w:pPr>
            <w:r>
              <w:rPr>
                <w:rFonts w:ascii="Times New Roman" w:hAnsi="Times New Roman" w:eastAsia="宋体"/>
                <w:b/>
                <w:color w:val="000000"/>
                <w:sz w:val="24"/>
              </w:rPr>
              <w:t>设置</w:t>
            </w:r>
          </w:p>
        </w:tc>
        <w:tc>
          <w:tcPr>
            <w:tcW w:type="dxa" w:w="1837"/>
            <w:vAlign w:val="center"/>
          </w:tcPr>
          <w:p>
            <w:pPr>
              <w:spacing w:line="240" w:lineRule="auto" w:before="0" w:after="0"/>
              <w:ind w:firstLine="0"/>
            </w:pPr>
            <w:r>
              <w:rPr>
                <w:rFonts w:ascii="Times New Roman" w:hAnsi="Times New Roman" w:eastAsia="宋体"/>
                <w:b/>
                <w:color w:val="000000"/>
                <w:sz w:val="24"/>
              </w:rPr>
              <w:t>固定/车秒</w:t>
            </w:r>
          </w:p>
        </w:tc>
        <w:tc>
          <w:tcPr>
            <w:tcW w:type="dxa" w:w="1837"/>
            <w:vAlign w:val="center"/>
          </w:tcPr>
          <w:p>
            <w:pPr>
              <w:spacing w:line="240" w:lineRule="auto" w:before="0" w:after="0"/>
              <w:ind w:firstLine="0"/>
            </w:pPr>
            <w:r>
              <w:rPr>
                <w:rFonts w:ascii="Times New Roman" w:hAnsi="Times New Roman" w:eastAsia="宋体"/>
                <w:b/>
                <w:color w:val="000000"/>
                <w:sz w:val="24"/>
              </w:rPr>
              <w:t>A/车秒</w:t>
            </w:r>
          </w:p>
        </w:tc>
        <w:tc>
          <w:tcPr>
            <w:tcW w:type="dxa" w:w="1837"/>
            <w:vAlign w:val="center"/>
          </w:tcPr>
          <w:p>
            <w:pPr>
              <w:spacing w:line="240" w:lineRule="auto" w:before="0" w:after="0"/>
              <w:ind w:firstLine="0"/>
            </w:pPr>
            <w:r>
              <w:rPr>
                <w:rFonts w:ascii="Times New Roman" w:hAnsi="Times New Roman" w:eastAsia="宋体"/>
                <w:b/>
                <w:color w:val="000000"/>
                <w:sz w:val="24"/>
              </w:rPr>
              <w:t>A−固定</w:t>
            </w:r>
          </w:p>
        </w:tc>
        <w:tc>
          <w:tcPr>
            <w:tcW w:type="dxa" w:w="1837"/>
            <w:vAlign w:val="center"/>
          </w:tcPr>
          <w:p>
            <w:pPr>
              <w:spacing w:line="240" w:lineRule="auto" w:before="0" w:after="0"/>
              <w:ind w:firstLine="0"/>
            </w:pPr>
            <w:r>
              <w:rPr>
                <w:rFonts w:ascii="Times New Roman" w:hAnsi="Times New Roman" w:eastAsia="宋体"/>
                <w:b/>
                <w:color w:val="000000"/>
                <w:sz w:val="24"/>
              </w:rPr>
              <w:t>A改道数</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主设置</w:t>
            </w:r>
          </w:p>
        </w:tc>
        <w:tc>
          <w:tcPr>
            <w:tcW w:type="dxa" w:w="1837"/>
            <w:vAlign w:val="center"/>
          </w:tcPr>
          <w:p>
            <w:pPr>
              <w:spacing w:line="240" w:lineRule="auto" w:before="0" w:after="0"/>
              <w:ind w:firstLine="0"/>
            </w:pPr>
            <w:r>
              <w:rPr>
                <w:rFonts w:ascii="Times New Roman" w:hAnsi="Times New Roman" w:eastAsia="宋体"/>
                <w:b w:val="0"/>
                <w:color w:val="000000"/>
                <w:sz w:val="24"/>
              </w:rPr>
              <w:t>42,667</w:t>
            </w:r>
          </w:p>
        </w:tc>
        <w:tc>
          <w:tcPr>
            <w:tcW w:type="dxa" w:w="1837"/>
            <w:vAlign w:val="center"/>
          </w:tcPr>
          <w:p>
            <w:pPr>
              <w:spacing w:line="240" w:lineRule="auto" w:before="0" w:after="0"/>
              <w:ind w:firstLine="0"/>
            </w:pPr>
            <w:r>
              <w:rPr>
                <w:rFonts w:ascii="Times New Roman" w:hAnsi="Times New Roman" w:eastAsia="宋体"/>
                <w:b w:val="0"/>
                <w:color w:val="000000"/>
                <w:sz w:val="24"/>
              </w:rPr>
              <w:t>42,667</w:t>
            </w:r>
          </w:p>
        </w:tc>
        <w:tc>
          <w:tcPr>
            <w:tcW w:type="dxa" w:w="1837"/>
            <w:vAlign w:val="center"/>
          </w:tcPr>
          <w:p>
            <w:pPr>
              <w:spacing w:line="240" w:lineRule="auto" w:before="0" w:after="0"/>
              <w:ind w:firstLine="0"/>
            </w:pPr>
            <w:r>
              <w:rPr>
                <w:rFonts w:ascii="Times New Roman" w:hAnsi="Times New Roman" w:eastAsia="宋体"/>
                <w:b w:val="0"/>
                <w:color w:val="000000"/>
                <w:sz w:val="24"/>
              </w:rPr>
              <w:t>0</w:t>
            </w:r>
          </w:p>
        </w:tc>
        <w:tc>
          <w:tcPr>
            <w:tcW w:type="dxa" w:w="1837"/>
            <w:vAlign w:val="center"/>
          </w:tcPr>
          <w:p>
            <w:pPr>
              <w:spacing w:line="240" w:lineRule="auto" w:before="0" w:after="0"/>
              <w:ind w:firstLine="0"/>
            </w:pPr>
            <w:r>
              <w:rPr>
                <w:rFonts w:ascii="Times New Roman" w:hAnsi="Times New Roman" w:eastAsia="宋体"/>
                <w:b w:val="0"/>
                <w:color w:val="000000"/>
                <w:sz w:val="24"/>
              </w:rPr>
              <w:t>0</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需求加倍</w:t>
            </w:r>
          </w:p>
        </w:tc>
        <w:tc>
          <w:tcPr>
            <w:tcW w:type="dxa" w:w="1837"/>
            <w:vAlign w:val="center"/>
          </w:tcPr>
          <w:p>
            <w:pPr>
              <w:spacing w:line="240" w:lineRule="auto" w:before="0" w:after="0"/>
              <w:ind w:firstLine="0"/>
            </w:pPr>
            <w:r>
              <w:rPr>
                <w:rFonts w:ascii="Times New Roman" w:hAnsi="Times New Roman" w:eastAsia="宋体"/>
                <w:b w:val="0"/>
                <w:color w:val="000000"/>
                <w:sz w:val="24"/>
              </w:rPr>
              <w:t>106,842</w:t>
            </w:r>
          </w:p>
        </w:tc>
        <w:tc>
          <w:tcPr>
            <w:tcW w:type="dxa" w:w="1837"/>
            <w:vAlign w:val="center"/>
          </w:tcPr>
          <w:p>
            <w:pPr>
              <w:spacing w:line="240" w:lineRule="auto" w:before="0" w:after="0"/>
              <w:ind w:firstLine="0"/>
            </w:pPr>
            <w:r>
              <w:rPr>
                <w:rFonts w:ascii="Times New Roman" w:hAnsi="Times New Roman" w:eastAsia="宋体"/>
                <w:b w:val="0"/>
                <w:color w:val="000000"/>
                <w:sz w:val="24"/>
              </w:rPr>
              <w:t>106,842</w:t>
            </w:r>
          </w:p>
        </w:tc>
        <w:tc>
          <w:tcPr>
            <w:tcW w:type="dxa" w:w="1837"/>
            <w:vAlign w:val="center"/>
          </w:tcPr>
          <w:p>
            <w:pPr>
              <w:spacing w:line="240" w:lineRule="auto" w:before="0" w:after="0"/>
              <w:ind w:firstLine="0"/>
            </w:pPr>
            <w:r>
              <w:rPr>
                <w:rFonts w:ascii="Times New Roman" w:hAnsi="Times New Roman" w:eastAsia="宋体"/>
                <w:b w:val="0"/>
                <w:color w:val="000000"/>
                <w:sz w:val="24"/>
              </w:rPr>
              <w:t>0</w:t>
            </w:r>
          </w:p>
        </w:tc>
        <w:tc>
          <w:tcPr>
            <w:tcW w:type="dxa" w:w="1837"/>
            <w:vAlign w:val="center"/>
          </w:tcPr>
          <w:p>
            <w:pPr>
              <w:spacing w:line="240" w:lineRule="auto" w:before="0" w:after="0"/>
              <w:ind w:firstLine="0"/>
            </w:pPr>
            <w:r>
              <w:rPr>
                <w:rFonts w:ascii="Times New Roman" w:hAnsi="Times New Roman" w:eastAsia="宋体"/>
                <w:b w:val="0"/>
                <w:color w:val="000000"/>
                <w:sz w:val="24"/>
              </w:rPr>
              <w:t>0</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更强慢行</w:t>
            </w:r>
          </w:p>
        </w:tc>
        <w:tc>
          <w:tcPr>
            <w:tcW w:type="dxa" w:w="1837"/>
            <w:vAlign w:val="center"/>
          </w:tcPr>
          <w:p>
            <w:pPr>
              <w:spacing w:line="240" w:lineRule="auto" w:before="0" w:after="0"/>
              <w:ind w:firstLine="0"/>
            </w:pPr>
            <w:r>
              <w:rPr>
                <w:rFonts w:ascii="Times New Roman" w:hAnsi="Times New Roman" w:eastAsia="宋体"/>
                <w:b w:val="0"/>
                <w:color w:val="000000"/>
                <w:sz w:val="24"/>
              </w:rPr>
              <w:t>49,071</w:t>
            </w:r>
          </w:p>
        </w:tc>
        <w:tc>
          <w:tcPr>
            <w:tcW w:type="dxa" w:w="1837"/>
            <w:vAlign w:val="center"/>
          </w:tcPr>
          <w:p>
            <w:pPr>
              <w:spacing w:line="240" w:lineRule="auto" w:before="0" w:after="0"/>
              <w:ind w:firstLine="0"/>
            </w:pPr>
            <w:r>
              <w:rPr>
                <w:rFonts w:ascii="Times New Roman" w:hAnsi="Times New Roman" w:eastAsia="宋体"/>
                <w:b w:val="0"/>
                <w:color w:val="000000"/>
                <w:sz w:val="24"/>
              </w:rPr>
              <w:t>44,766</w:t>
            </w:r>
          </w:p>
        </w:tc>
        <w:tc>
          <w:tcPr>
            <w:tcW w:type="dxa" w:w="1837"/>
            <w:vAlign w:val="center"/>
          </w:tcPr>
          <w:p>
            <w:pPr>
              <w:spacing w:line="240" w:lineRule="auto" w:before="0" w:after="0"/>
              <w:ind w:firstLine="0"/>
            </w:pPr>
            <w:r>
              <w:rPr>
                <w:rFonts w:ascii="Times New Roman" w:hAnsi="Times New Roman" w:eastAsia="宋体"/>
                <w:b w:val="0"/>
                <w:color w:val="000000"/>
                <w:sz w:val="24"/>
              </w:rPr>
              <w:t>-4,305</w:t>
            </w:r>
          </w:p>
        </w:tc>
        <w:tc>
          <w:tcPr>
            <w:tcW w:type="dxa" w:w="1837"/>
            <w:vAlign w:val="center"/>
          </w:tcPr>
          <w:p>
            <w:pPr>
              <w:spacing w:line="240" w:lineRule="auto" w:before="0" w:after="0"/>
              <w:ind w:firstLine="0"/>
            </w:pPr>
            <w:r>
              <w:rPr>
                <w:rFonts w:ascii="Times New Roman" w:hAnsi="Times New Roman" w:eastAsia="宋体"/>
                <w:b w:val="0"/>
                <w:color w:val="000000"/>
                <w:sz w:val="24"/>
              </w:rPr>
              <w:t>20</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事件延长</w:t>
            </w:r>
          </w:p>
        </w:tc>
        <w:tc>
          <w:tcPr>
            <w:tcW w:type="dxa" w:w="1837"/>
            <w:vAlign w:val="center"/>
          </w:tcPr>
          <w:p>
            <w:pPr>
              <w:spacing w:line="240" w:lineRule="auto" w:before="0" w:after="0"/>
              <w:ind w:firstLine="0"/>
            </w:pPr>
            <w:r>
              <w:rPr>
                <w:rFonts w:ascii="Times New Roman" w:hAnsi="Times New Roman" w:eastAsia="宋体"/>
                <w:b w:val="0"/>
                <w:color w:val="000000"/>
                <w:sz w:val="24"/>
              </w:rPr>
              <w:t>42,883</w:t>
            </w:r>
          </w:p>
        </w:tc>
        <w:tc>
          <w:tcPr>
            <w:tcW w:type="dxa" w:w="1837"/>
            <w:vAlign w:val="center"/>
          </w:tcPr>
          <w:p>
            <w:pPr>
              <w:spacing w:line="240" w:lineRule="auto" w:before="0" w:after="0"/>
              <w:ind w:firstLine="0"/>
            </w:pPr>
            <w:r>
              <w:rPr>
                <w:rFonts w:ascii="Times New Roman" w:hAnsi="Times New Roman" w:eastAsia="宋体"/>
                <w:b w:val="0"/>
                <w:color w:val="000000"/>
                <w:sz w:val="24"/>
              </w:rPr>
              <w:t>42,883</w:t>
            </w:r>
          </w:p>
        </w:tc>
        <w:tc>
          <w:tcPr>
            <w:tcW w:type="dxa" w:w="1837"/>
            <w:vAlign w:val="center"/>
          </w:tcPr>
          <w:p>
            <w:pPr>
              <w:spacing w:line="240" w:lineRule="auto" w:before="0" w:after="0"/>
              <w:ind w:firstLine="0"/>
            </w:pPr>
            <w:r>
              <w:rPr>
                <w:rFonts w:ascii="Times New Roman" w:hAnsi="Times New Roman" w:eastAsia="宋体"/>
                <w:b w:val="0"/>
                <w:color w:val="000000"/>
                <w:sz w:val="24"/>
              </w:rPr>
              <w:t>0</w:t>
            </w:r>
          </w:p>
        </w:tc>
        <w:tc>
          <w:tcPr>
            <w:tcW w:type="dxa" w:w="1837"/>
            <w:vAlign w:val="center"/>
          </w:tcPr>
          <w:p>
            <w:pPr>
              <w:spacing w:line="240" w:lineRule="auto" w:before="0" w:after="0"/>
              <w:ind w:firstLine="0"/>
            </w:pPr>
            <w:r>
              <w:rPr>
                <w:rFonts w:ascii="Times New Roman" w:hAnsi="Times New Roman" w:eastAsia="宋体"/>
                <w:b w:val="0"/>
                <w:color w:val="000000"/>
                <w:sz w:val="24"/>
              </w:rPr>
              <w:t>0</w:t>
            </w:r>
          </w:p>
        </w:tc>
      </w:tr>
    </w:tbl>
    <w:p>
      <w:pPr>
        <w:spacing w:after="0"/>
      </w:pPr>
    </w:p>
    <w:p>
      <w:r>
        <w:rPr>
          <w:rFonts w:ascii="Times New Roman" w:hAnsi="Times New Roman" w:eastAsia="宋体"/>
          <w:b w:val="0"/>
          <w:color w:val="000000"/>
          <w:sz w:val="24"/>
        </w:rPr>
        <w:t>S3全部策略结果（普通车数为主设置240辆、需求加倍480辆，另加同一任务1辆）：</w:t>
      </w:r>
    </w:p>
    <w:tbl>
      <w:tblPr>
        <w:tblStyle w:val="TableGrid"/>
        <w:tblW w:type="auto" w:w="0"/>
        <w:jc w:val="center"/>
        <w:tblLook w:firstColumn="1" w:firstRow="1" w:lastColumn="0" w:lastRow="0" w:noHBand="0" w:noVBand="1" w:val="04A0"/>
      </w:tblPr>
      <w:tblGrid>
        <w:gridCol w:w="1837"/>
        <w:gridCol w:w="1837"/>
        <w:gridCol w:w="1837"/>
        <w:gridCol w:w="1837"/>
        <w:gridCol w:w="1837"/>
      </w:tblGrid>
      <w:tr>
        <w:trPr>
          <w:cantSplit/>
          <w:tblHeader/>
        </w:trPr>
        <w:tc>
          <w:tcPr>
            <w:tcW w:type="dxa" w:w="1837"/>
            <w:vAlign w:val="center"/>
          </w:tcPr>
          <w:p>
            <w:pPr>
              <w:spacing w:line="240" w:lineRule="auto" w:before="0" w:after="0"/>
              <w:ind w:firstLine="0"/>
            </w:pPr>
            <w:r>
              <w:rPr>
                <w:rFonts w:ascii="Times New Roman" w:hAnsi="Times New Roman" w:eastAsia="宋体"/>
                <w:b/>
                <w:color w:val="000000"/>
                <w:sz w:val="24"/>
              </w:rPr>
              <w:t>设置</w:t>
            </w:r>
          </w:p>
        </w:tc>
        <w:tc>
          <w:tcPr>
            <w:tcW w:type="dxa" w:w="1837"/>
            <w:vAlign w:val="center"/>
          </w:tcPr>
          <w:p>
            <w:pPr>
              <w:spacing w:line="240" w:lineRule="auto" w:before="0" w:after="0"/>
              <w:ind w:firstLine="0"/>
            </w:pPr>
            <w:r>
              <w:rPr>
                <w:rFonts w:ascii="Times New Roman" w:hAnsi="Times New Roman" w:eastAsia="宋体"/>
                <w:b/>
                <w:color w:val="000000"/>
                <w:sz w:val="24"/>
              </w:rPr>
              <w:t>策略</w:t>
            </w:r>
          </w:p>
        </w:tc>
        <w:tc>
          <w:tcPr>
            <w:tcW w:type="dxa" w:w="1837"/>
            <w:vAlign w:val="center"/>
          </w:tcPr>
          <w:p>
            <w:pPr>
              <w:spacing w:line="240" w:lineRule="auto" w:before="0" w:after="0"/>
              <w:ind w:firstLine="0"/>
            </w:pPr>
            <w:r>
              <w:rPr>
                <w:rFonts w:ascii="Times New Roman" w:hAnsi="Times New Roman" w:eastAsia="宋体"/>
                <w:b/>
                <w:color w:val="000000"/>
                <w:sz w:val="24"/>
              </w:rPr>
              <w:t>普通时间/车秒</w:t>
            </w:r>
          </w:p>
        </w:tc>
        <w:tc>
          <w:tcPr>
            <w:tcW w:type="dxa" w:w="1837"/>
            <w:vAlign w:val="center"/>
          </w:tcPr>
          <w:p>
            <w:pPr>
              <w:spacing w:line="240" w:lineRule="auto" w:before="0" w:after="0"/>
              <w:ind w:firstLine="0"/>
            </w:pPr>
            <w:r>
              <w:rPr>
                <w:rFonts w:ascii="Times New Roman" w:hAnsi="Times New Roman" w:eastAsia="宋体"/>
                <w:b/>
                <w:color w:val="000000"/>
                <w:sz w:val="24"/>
              </w:rPr>
              <w:t>任务时间/s</w:t>
            </w:r>
          </w:p>
        </w:tc>
        <w:tc>
          <w:tcPr>
            <w:tcW w:type="dxa" w:w="1837"/>
            <w:vAlign w:val="center"/>
          </w:tcPr>
          <w:p>
            <w:pPr>
              <w:spacing w:line="240" w:lineRule="auto" w:before="0" w:after="0"/>
              <w:ind w:firstLine="0"/>
            </w:pPr>
            <w:r>
              <w:rPr>
                <w:rFonts w:ascii="Times New Roman" w:hAnsi="Times New Roman" w:eastAsia="宋体"/>
                <w:b/>
                <w:color w:val="000000"/>
                <w:sz w:val="24"/>
              </w:rPr>
              <w:t>源端等待/车秒</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主设置</w:t>
            </w:r>
          </w:p>
        </w:tc>
        <w:tc>
          <w:tcPr>
            <w:tcW w:type="dxa" w:w="1837"/>
            <w:vAlign w:val="center"/>
          </w:tcPr>
          <w:p>
            <w:pPr>
              <w:spacing w:line="240" w:lineRule="auto" w:before="0" w:after="0"/>
              <w:ind w:firstLine="0"/>
            </w:pPr>
            <w:r>
              <w:rPr>
                <w:rFonts w:ascii="Times New Roman" w:hAnsi="Times New Roman" w:eastAsia="宋体"/>
                <w:b w:val="0"/>
                <w:color w:val="000000"/>
                <w:sz w:val="24"/>
              </w:rPr>
              <w:t>固定</w:t>
            </w:r>
          </w:p>
        </w:tc>
        <w:tc>
          <w:tcPr>
            <w:tcW w:type="dxa" w:w="1837"/>
            <w:vAlign w:val="center"/>
          </w:tcPr>
          <w:p>
            <w:pPr>
              <w:spacing w:line="240" w:lineRule="auto" w:before="0" w:after="0"/>
              <w:ind w:firstLine="0"/>
            </w:pPr>
            <w:r>
              <w:rPr>
                <w:rFonts w:ascii="Times New Roman" w:hAnsi="Times New Roman" w:eastAsia="宋体"/>
                <w:b w:val="0"/>
                <w:color w:val="000000"/>
                <w:sz w:val="24"/>
              </w:rPr>
              <w:t>42,703</w:t>
            </w:r>
          </w:p>
        </w:tc>
        <w:tc>
          <w:tcPr>
            <w:tcW w:type="dxa" w:w="1837"/>
            <w:vAlign w:val="center"/>
          </w:tcPr>
          <w:p>
            <w:pPr>
              <w:spacing w:line="240" w:lineRule="auto" w:before="0" w:after="0"/>
              <w:ind w:firstLine="0"/>
            </w:pPr>
            <w:r>
              <w:rPr>
                <w:rFonts w:ascii="Times New Roman" w:hAnsi="Times New Roman" w:eastAsia="宋体"/>
                <w:b w:val="0"/>
                <w:color w:val="000000"/>
                <w:sz w:val="24"/>
              </w:rPr>
              <w:t>174</w:t>
            </w:r>
          </w:p>
        </w:tc>
        <w:tc>
          <w:tcPr>
            <w:tcW w:type="dxa" w:w="1837"/>
            <w:vAlign w:val="center"/>
          </w:tcPr>
          <w:p>
            <w:pPr>
              <w:spacing w:line="240" w:lineRule="auto" w:before="0" w:after="0"/>
              <w:ind w:firstLine="0"/>
            </w:pPr>
            <w:r>
              <w:rPr>
                <w:rFonts w:ascii="Times New Roman" w:hAnsi="Times New Roman" w:eastAsia="宋体"/>
                <w:b w:val="0"/>
                <w:color w:val="000000"/>
                <w:sz w:val="24"/>
              </w:rPr>
              <w:t>0</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主设置</w:t>
            </w:r>
          </w:p>
        </w:tc>
        <w:tc>
          <w:tcPr>
            <w:tcW w:type="dxa" w:w="1837"/>
            <w:vAlign w:val="center"/>
          </w:tcPr>
          <w:p>
            <w:pPr>
              <w:spacing w:line="240" w:lineRule="auto" w:before="0" w:after="0"/>
              <w:ind w:firstLine="0"/>
            </w:pPr>
            <w:r>
              <w:rPr>
                <w:rFonts w:ascii="Times New Roman" w:hAnsi="Times New Roman" w:eastAsia="宋体"/>
                <w:b w:val="0"/>
                <w:color w:val="000000"/>
                <w:sz w:val="24"/>
              </w:rPr>
              <w:t>A</w:t>
            </w:r>
          </w:p>
        </w:tc>
        <w:tc>
          <w:tcPr>
            <w:tcW w:type="dxa" w:w="1837"/>
            <w:vAlign w:val="center"/>
          </w:tcPr>
          <w:p>
            <w:pPr>
              <w:spacing w:line="240" w:lineRule="auto" w:before="0" w:after="0"/>
              <w:ind w:firstLine="0"/>
            </w:pPr>
            <w:r>
              <w:rPr>
                <w:rFonts w:ascii="Times New Roman" w:hAnsi="Times New Roman" w:eastAsia="宋体"/>
                <w:b w:val="0"/>
                <w:color w:val="000000"/>
                <w:sz w:val="24"/>
              </w:rPr>
              <w:t>42,703</w:t>
            </w:r>
          </w:p>
        </w:tc>
        <w:tc>
          <w:tcPr>
            <w:tcW w:type="dxa" w:w="1837"/>
            <w:vAlign w:val="center"/>
          </w:tcPr>
          <w:p>
            <w:pPr>
              <w:spacing w:line="240" w:lineRule="auto" w:before="0" w:after="0"/>
              <w:ind w:firstLine="0"/>
            </w:pPr>
            <w:r>
              <w:rPr>
                <w:rFonts w:ascii="Times New Roman" w:hAnsi="Times New Roman" w:eastAsia="宋体"/>
                <w:b w:val="0"/>
                <w:color w:val="000000"/>
                <w:sz w:val="24"/>
              </w:rPr>
              <w:t>174</w:t>
            </w:r>
          </w:p>
        </w:tc>
        <w:tc>
          <w:tcPr>
            <w:tcW w:type="dxa" w:w="1837"/>
            <w:vAlign w:val="center"/>
          </w:tcPr>
          <w:p>
            <w:pPr>
              <w:spacing w:line="240" w:lineRule="auto" w:before="0" w:after="0"/>
              <w:ind w:firstLine="0"/>
            </w:pPr>
            <w:r>
              <w:rPr>
                <w:rFonts w:ascii="Times New Roman" w:hAnsi="Times New Roman" w:eastAsia="宋体"/>
                <w:b w:val="0"/>
                <w:color w:val="000000"/>
                <w:sz w:val="24"/>
              </w:rPr>
              <w:t>0</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主设置</w:t>
            </w:r>
          </w:p>
        </w:tc>
        <w:tc>
          <w:tcPr>
            <w:tcW w:type="dxa" w:w="1837"/>
            <w:vAlign w:val="center"/>
          </w:tcPr>
          <w:p>
            <w:pPr>
              <w:spacing w:line="240" w:lineRule="auto" w:before="0" w:after="0"/>
              <w:ind w:firstLine="0"/>
            </w:pPr>
            <w:r>
              <w:rPr>
                <w:rFonts w:ascii="Times New Roman" w:hAnsi="Times New Roman" w:eastAsia="宋体"/>
                <w:b w:val="0"/>
                <w:color w:val="000000"/>
                <w:sz w:val="24"/>
              </w:rPr>
              <w:t>B</w:t>
            </w:r>
          </w:p>
        </w:tc>
        <w:tc>
          <w:tcPr>
            <w:tcW w:type="dxa" w:w="1837"/>
            <w:vAlign w:val="center"/>
          </w:tcPr>
          <w:p>
            <w:pPr>
              <w:spacing w:line="240" w:lineRule="auto" w:before="0" w:after="0"/>
              <w:ind w:firstLine="0"/>
            </w:pPr>
            <w:r>
              <w:rPr>
                <w:rFonts w:ascii="Times New Roman" w:hAnsi="Times New Roman" w:eastAsia="宋体"/>
                <w:b w:val="0"/>
                <w:color w:val="000000"/>
                <w:sz w:val="24"/>
              </w:rPr>
              <w:t>43,698</w:t>
            </w:r>
          </w:p>
        </w:tc>
        <w:tc>
          <w:tcPr>
            <w:tcW w:type="dxa" w:w="1837"/>
            <w:vAlign w:val="center"/>
          </w:tcPr>
          <w:p>
            <w:pPr>
              <w:spacing w:line="240" w:lineRule="auto" w:before="0" w:after="0"/>
              <w:ind w:firstLine="0"/>
            </w:pPr>
            <w:r>
              <w:rPr>
                <w:rFonts w:ascii="Times New Roman" w:hAnsi="Times New Roman" w:eastAsia="宋体"/>
                <w:b w:val="0"/>
                <w:color w:val="000000"/>
                <w:sz w:val="24"/>
              </w:rPr>
              <w:t>174</w:t>
            </w:r>
          </w:p>
        </w:tc>
        <w:tc>
          <w:tcPr>
            <w:tcW w:type="dxa" w:w="1837"/>
            <w:vAlign w:val="center"/>
          </w:tcPr>
          <w:p>
            <w:pPr>
              <w:spacing w:line="240" w:lineRule="auto" w:before="0" w:after="0"/>
              <w:ind w:firstLine="0"/>
            </w:pPr>
            <w:r>
              <w:rPr>
                <w:rFonts w:ascii="Times New Roman" w:hAnsi="Times New Roman" w:eastAsia="宋体"/>
                <w:b w:val="0"/>
                <w:color w:val="000000"/>
                <w:sz w:val="24"/>
              </w:rPr>
              <w:t>917</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需求加倍</w:t>
            </w:r>
          </w:p>
        </w:tc>
        <w:tc>
          <w:tcPr>
            <w:tcW w:type="dxa" w:w="1837"/>
            <w:vAlign w:val="center"/>
          </w:tcPr>
          <w:p>
            <w:pPr>
              <w:spacing w:line="240" w:lineRule="auto" w:before="0" w:after="0"/>
              <w:ind w:firstLine="0"/>
            </w:pPr>
            <w:r>
              <w:rPr>
                <w:rFonts w:ascii="Times New Roman" w:hAnsi="Times New Roman" w:eastAsia="宋体"/>
                <w:b w:val="0"/>
                <w:color w:val="000000"/>
                <w:sz w:val="24"/>
              </w:rPr>
              <w:t>固定</w:t>
            </w:r>
          </w:p>
        </w:tc>
        <w:tc>
          <w:tcPr>
            <w:tcW w:type="dxa" w:w="1837"/>
            <w:vAlign w:val="center"/>
          </w:tcPr>
          <w:p>
            <w:pPr>
              <w:spacing w:line="240" w:lineRule="auto" w:before="0" w:after="0"/>
              <w:ind w:firstLine="0"/>
            </w:pPr>
            <w:r>
              <w:rPr>
                <w:rFonts w:ascii="Times New Roman" w:hAnsi="Times New Roman" w:eastAsia="宋体"/>
                <w:b w:val="0"/>
                <w:color w:val="000000"/>
                <w:sz w:val="24"/>
              </w:rPr>
              <w:t>108,374</w:t>
            </w:r>
          </w:p>
        </w:tc>
        <w:tc>
          <w:tcPr>
            <w:tcW w:type="dxa" w:w="1837"/>
            <w:vAlign w:val="center"/>
          </w:tcPr>
          <w:p>
            <w:pPr>
              <w:spacing w:line="240" w:lineRule="auto" w:before="0" w:after="0"/>
              <w:ind w:firstLine="0"/>
            </w:pPr>
            <w:r>
              <w:rPr>
                <w:rFonts w:ascii="Times New Roman" w:hAnsi="Times New Roman" w:eastAsia="宋体"/>
                <w:b w:val="0"/>
                <w:color w:val="000000"/>
                <w:sz w:val="24"/>
              </w:rPr>
              <w:t>292</w:t>
            </w:r>
          </w:p>
        </w:tc>
        <w:tc>
          <w:tcPr>
            <w:tcW w:type="dxa" w:w="1837"/>
            <w:vAlign w:val="center"/>
          </w:tcPr>
          <w:p>
            <w:pPr>
              <w:spacing w:line="240" w:lineRule="auto" w:before="0" w:after="0"/>
              <w:ind w:firstLine="0"/>
            </w:pPr>
            <w:r>
              <w:rPr>
                <w:rFonts w:ascii="Times New Roman" w:hAnsi="Times New Roman" w:eastAsia="宋体"/>
                <w:b w:val="0"/>
                <w:color w:val="000000"/>
                <w:sz w:val="24"/>
              </w:rPr>
              <w:t>0</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需求加倍</w:t>
            </w:r>
          </w:p>
        </w:tc>
        <w:tc>
          <w:tcPr>
            <w:tcW w:type="dxa" w:w="1837"/>
            <w:vAlign w:val="center"/>
          </w:tcPr>
          <w:p>
            <w:pPr>
              <w:spacing w:line="240" w:lineRule="auto" w:before="0" w:after="0"/>
              <w:ind w:firstLine="0"/>
            </w:pPr>
            <w:r>
              <w:rPr>
                <w:rFonts w:ascii="Times New Roman" w:hAnsi="Times New Roman" w:eastAsia="宋体"/>
                <w:b w:val="0"/>
                <w:color w:val="000000"/>
                <w:sz w:val="24"/>
              </w:rPr>
              <w:t>A</w:t>
            </w:r>
          </w:p>
        </w:tc>
        <w:tc>
          <w:tcPr>
            <w:tcW w:type="dxa" w:w="1837"/>
            <w:vAlign w:val="center"/>
          </w:tcPr>
          <w:p>
            <w:pPr>
              <w:spacing w:line="240" w:lineRule="auto" w:before="0" w:after="0"/>
              <w:ind w:firstLine="0"/>
            </w:pPr>
            <w:r>
              <w:rPr>
                <w:rFonts w:ascii="Times New Roman" w:hAnsi="Times New Roman" w:eastAsia="宋体"/>
                <w:b w:val="0"/>
                <w:color w:val="000000"/>
                <w:sz w:val="24"/>
              </w:rPr>
              <w:t>108,374</w:t>
            </w:r>
          </w:p>
        </w:tc>
        <w:tc>
          <w:tcPr>
            <w:tcW w:type="dxa" w:w="1837"/>
            <w:vAlign w:val="center"/>
          </w:tcPr>
          <w:p>
            <w:pPr>
              <w:spacing w:line="240" w:lineRule="auto" w:before="0" w:after="0"/>
              <w:ind w:firstLine="0"/>
            </w:pPr>
            <w:r>
              <w:rPr>
                <w:rFonts w:ascii="Times New Roman" w:hAnsi="Times New Roman" w:eastAsia="宋体"/>
                <w:b w:val="0"/>
                <w:color w:val="000000"/>
                <w:sz w:val="24"/>
              </w:rPr>
              <w:t>292</w:t>
            </w:r>
          </w:p>
        </w:tc>
        <w:tc>
          <w:tcPr>
            <w:tcW w:type="dxa" w:w="1837"/>
            <w:vAlign w:val="center"/>
          </w:tcPr>
          <w:p>
            <w:pPr>
              <w:spacing w:line="240" w:lineRule="auto" w:before="0" w:after="0"/>
              <w:ind w:firstLine="0"/>
            </w:pPr>
            <w:r>
              <w:rPr>
                <w:rFonts w:ascii="Times New Roman" w:hAnsi="Times New Roman" w:eastAsia="宋体"/>
                <w:b w:val="0"/>
                <w:color w:val="000000"/>
                <w:sz w:val="24"/>
              </w:rPr>
              <w:t>0</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需求加倍</w:t>
            </w:r>
          </w:p>
        </w:tc>
        <w:tc>
          <w:tcPr>
            <w:tcW w:type="dxa" w:w="1837"/>
            <w:vAlign w:val="center"/>
          </w:tcPr>
          <w:p>
            <w:pPr>
              <w:spacing w:line="240" w:lineRule="auto" w:before="0" w:after="0"/>
              <w:ind w:firstLine="0"/>
            </w:pPr>
            <w:r>
              <w:rPr>
                <w:rFonts w:ascii="Times New Roman" w:hAnsi="Times New Roman" w:eastAsia="宋体"/>
                <w:b w:val="0"/>
                <w:color w:val="000000"/>
                <w:sz w:val="24"/>
              </w:rPr>
              <w:t>B</w:t>
            </w:r>
          </w:p>
        </w:tc>
        <w:tc>
          <w:tcPr>
            <w:tcW w:type="dxa" w:w="1837"/>
            <w:vAlign w:val="center"/>
          </w:tcPr>
          <w:p>
            <w:pPr>
              <w:spacing w:line="240" w:lineRule="auto" w:before="0" w:after="0"/>
              <w:ind w:firstLine="0"/>
            </w:pPr>
            <w:r>
              <w:rPr>
                <w:rFonts w:ascii="Times New Roman" w:hAnsi="Times New Roman" w:eastAsia="宋体"/>
                <w:b w:val="0"/>
                <w:color w:val="000000"/>
                <w:sz w:val="24"/>
              </w:rPr>
              <w:t>105,034</w:t>
            </w:r>
          </w:p>
        </w:tc>
        <w:tc>
          <w:tcPr>
            <w:tcW w:type="dxa" w:w="1837"/>
            <w:vAlign w:val="center"/>
          </w:tcPr>
          <w:p>
            <w:pPr>
              <w:spacing w:line="240" w:lineRule="auto" w:before="0" w:after="0"/>
              <w:ind w:firstLine="0"/>
            </w:pPr>
            <w:r>
              <w:rPr>
                <w:rFonts w:ascii="Times New Roman" w:hAnsi="Times New Roman" w:eastAsia="宋体"/>
                <w:b w:val="0"/>
                <w:color w:val="000000"/>
                <w:sz w:val="24"/>
              </w:rPr>
              <w:t>232</w:t>
            </w:r>
          </w:p>
        </w:tc>
        <w:tc>
          <w:tcPr>
            <w:tcW w:type="dxa" w:w="1837"/>
            <w:vAlign w:val="center"/>
          </w:tcPr>
          <w:p>
            <w:pPr>
              <w:spacing w:line="240" w:lineRule="auto" w:before="0" w:after="0"/>
              <w:ind w:firstLine="0"/>
            </w:pPr>
            <w:r>
              <w:rPr>
                <w:rFonts w:ascii="Times New Roman" w:hAnsi="Times New Roman" w:eastAsia="宋体"/>
                <w:b w:val="0"/>
                <w:color w:val="000000"/>
                <w:sz w:val="24"/>
              </w:rPr>
              <w:t>1,887</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更强慢行</w:t>
            </w:r>
          </w:p>
        </w:tc>
        <w:tc>
          <w:tcPr>
            <w:tcW w:type="dxa" w:w="1837"/>
            <w:vAlign w:val="center"/>
          </w:tcPr>
          <w:p>
            <w:pPr>
              <w:spacing w:line="240" w:lineRule="auto" w:before="0" w:after="0"/>
              <w:ind w:firstLine="0"/>
            </w:pPr>
            <w:r>
              <w:rPr>
                <w:rFonts w:ascii="Times New Roman" w:hAnsi="Times New Roman" w:eastAsia="宋体"/>
                <w:b w:val="0"/>
                <w:color w:val="000000"/>
                <w:sz w:val="24"/>
              </w:rPr>
              <w:t>固定</w:t>
            </w:r>
          </w:p>
        </w:tc>
        <w:tc>
          <w:tcPr>
            <w:tcW w:type="dxa" w:w="1837"/>
            <w:vAlign w:val="center"/>
          </w:tcPr>
          <w:p>
            <w:pPr>
              <w:spacing w:line="240" w:lineRule="auto" w:before="0" w:after="0"/>
              <w:ind w:firstLine="0"/>
            </w:pPr>
            <w:r>
              <w:rPr>
                <w:rFonts w:ascii="Times New Roman" w:hAnsi="Times New Roman" w:eastAsia="宋体"/>
                <w:b w:val="0"/>
                <w:color w:val="000000"/>
                <w:sz w:val="24"/>
              </w:rPr>
              <w:t>50,226</w:t>
            </w:r>
          </w:p>
        </w:tc>
        <w:tc>
          <w:tcPr>
            <w:tcW w:type="dxa" w:w="1837"/>
            <w:vAlign w:val="center"/>
          </w:tcPr>
          <w:p>
            <w:pPr>
              <w:spacing w:line="240" w:lineRule="auto" w:before="0" w:after="0"/>
              <w:ind w:firstLine="0"/>
            </w:pPr>
            <w:r>
              <w:rPr>
                <w:rFonts w:ascii="Times New Roman" w:hAnsi="Times New Roman" w:eastAsia="宋体"/>
                <w:b w:val="0"/>
                <w:color w:val="000000"/>
                <w:sz w:val="24"/>
              </w:rPr>
              <w:t>323</w:t>
            </w:r>
          </w:p>
        </w:tc>
        <w:tc>
          <w:tcPr>
            <w:tcW w:type="dxa" w:w="1837"/>
            <w:vAlign w:val="center"/>
          </w:tcPr>
          <w:p>
            <w:pPr>
              <w:spacing w:line="240" w:lineRule="auto" w:before="0" w:after="0"/>
              <w:ind w:firstLine="0"/>
            </w:pPr>
            <w:r>
              <w:rPr>
                <w:rFonts w:ascii="Times New Roman" w:hAnsi="Times New Roman" w:eastAsia="宋体"/>
                <w:b w:val="0"/>
                <w:color w:val="000000"/>
                <w:sz w:val="24"/>
              </w:rPr>
              <w:t>0</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更强慢行</w:t>
            </w:r>
          </w:p>
        </w:tc>
        <w:tc>
          <w:tcPr>
            <w:tcW w:type="dxa" w:w="1837"/>
            <w:vAlign w:val="center"/>
          </w:tcPr>
          <w:p>
            <w:pPr>
              <w:spacing w:line="240" w:lineRule="auto" w:before="0" w:after="0"/>
              <w:ind w:firstLine="0"/>
            </w:pPr>
            <w:r>
              <w:rPr>
                <w:rFonts w:ascii="Times New Roman" w:hAnsi="Times New Roman" w:eastAsia="宋体"/>
                <w:b w:val="0"/>
                <w:color w:val="000000"/>
                <w:sz w:val="24"/>
              </w:rPr>
              <w:t>A</w:t>
            </w:r>
          </w:p>
        </w:tc>
        <w:tc>
          <w:tcPr>
            <w:tcW w:type="dxa" w:w="1837"/>
            <w:vAlign w:val="center"/>
          </w:tcPr>
          <w:p>
            <w:pPr>
              <w:spacing w:line="240" w:lineRule="auto" w:before="0" w:after="0"/>
              <w:ind w:firstLine="0"/>
            </w:pPr>
            <w:r>
              <w:rPr>
                <w:rFonts w:ascii="Times New Roman" w:hAnsi="Times New Roman" w:eastAsia="宋体"/>
                <w:b w:val="0"/>
                <w:color w:val="000000"/>
                <w:sz w:val="24"/>
              </w:rPr>
              <w:t>44,774</w:t>
            </w:r>
          </w:p>
        </w:tc>
        <w:tc>
          <w:tcPr>
            <w:tcW w:type="dxa" w:w="1837"/>
            <w:vAlign w:val="center"/>
          </w:tcPr>
          <w:p>
            <w:pPr>
              <w:spacing w:line="240" w:lineRule="auto" w:before="0" w:after="0"/>
              <w:ind w:firstLine="0"/>
            </w:pPr>
            <w:r>
              <w:rPr>
                <w:rFonts w:ascii="Times New Roman" w:hAnsi="Times New Roman" w:eastAsia="宋体"/>
                <w:b w:val="0"/>
                <w:color w:val="000000"/>
                <w:sz w:val="24"/>
              </w:rPr>
              <w:t>200</w:t>
            </w:r>
          </w:p>
        </w:tc>
        <w:tc>
          <w:tcPr>
            <w:tcW w:type="dxa" w:w="1837"/>
            <w:vAlign w:val="center"/>
          </w:tcPr>
          <w:p>
            <w:pPr>
              <w:spacing w:line="240" w:lineRule="auto" w:before="0" w:after="0"/>
              <w:ind w:firstLine="0"/>
            </w:pPr>
            <w:r>
              <w:rPr>
                <w:rFonts w:ascii="Times New Roman" w:hAnsi="Times New Roman" w:eastAsia="宋体"/>
                <w:b w:val="0"/>
                <w:color w:val="000000"/>
                <w:sz w:val="24"/>
              </w:rPr>
              <w:t>0</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更强慢行</w:t>
            </w:r>
          </w:p>
        </w:tc>
        <w:tc>
          <w:tcPr>
            <w:tcW w:type="dxa" w:w="1837"/>
            <w:vAlign w:val="center"/>
          </w:tcPr>
          <w:p>
            <w:pPr>
              <w:spacing w:line="240" w:lineRule="auto" w:before="0" w:after="0"/>
              <w:ind w:firstLine="0"/>
            </w:pPr>
            <w:r>
              <w:rPr>
                <w:rFonts w:ascii="Times New Roman" w:hAnsi="Times New Roman" w:eastAsia="宋体"/>
                <w:b w:val="0"/>
                <w:color w:val="000000"/>
                <w:sz w:val="24"/>
              </w:rPr>
              <w:t>B</w:t>
            </w:r>
          </w:p>
        </w:tc>
        <w:tc>
          <w:tcPr>
            <w:tcW w:type="dxa" w:w="1837"/>
            <w:vAlign w:val="center"/>
          </w:tcPr>
          <w:p>
            <w:pPr>
              <w:spacing w:line="240" w:lineRule="auto" w:before="0" w:after="0"/>
              <w:ind w:firstLine="0"/>
            </w:pPr>
            <w:r>
              <w:rPr>
                <w:rFonts w:ascii="Times New Roman" w:hAnsi="Times New Roman" w:eastAsia="宋体"/>
                <w:b w:val="0"/>
                <w:color w:val="000000"/>
                <w:sz w:val="24"/>
              </w:rPr>
              <w:t>45,774</w:t>
            </w:r>
          </w:p>
        </w:tc>
        <w:tc>
          <w:tcPr>
            <w:tcW w:type="dxa" w:w="1837"/>
            <w:vAlign w:val="center"/>
          </w:tcPr>
          <w:p>
            <w:pPr>
              <w:spacing w:line="240" w:lineRule="auto" w:before="0" w:after="0"/>
              <w:ind w:firstLine="0"/>
            </w:pPr>
            <w:r>
              <w:rPr>
                <w:rFonts w:ascii="Times New Roman" w:hAnsi="Times New Roman" w:eastAsia="宋体"/>
                <w:b w:val="0"/>
                <w:color w:val="000000"/>
                <w:sz w:val="24"/>
              </w:rPr>
              <w:t>201</w:t>
            </w:r>
          </w:p>
        </w:tc>
        <w:tc>
          <w:tcPr>
            <w:tcW w:type="dxa" w:w="1837"/>
            <w:vAlign w:val="center"/>
          </w:tcPr>
          <w:p>
            <w:pPr>
              <w:spacing w:line="240" w:lineRule="auto" w:before="0" w:after="0"/>
              <w:ind w:firstLine="0"/>
            </w:pPr>
            <w:r>
              <w:rPr>
                <w:rFonts w:ascii="Times New Roman" w:hAnsi="Times New Roman" w:eastAsia="宋体"/>
                <w:b w:val="0"/>
                <w:color w:val="000000"/>
                <w:sz w:val="24"/>
              </w:rPr>
              <w:t>999</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事件延长</w:t>
            </w:r>
          </w:p>
        </w:tc>
        <w:tc>
          <w:tcPr>
            <w:tcW w:type="dxa" w:w="1837"/>
            <w:vAlign w:val="center"/>
          </w:tcPr>
          <w:p>
            <w:pPr>
              <w:spacing w:line="240" w:lineRule="auto" w:before="0" w:after="0"/>
              <w:ind w:firstLine="0"/>
            </w:pPr>
            <w:r>
              <w:rPr>
                <w:rFonts w:ascii="Times New Roman" w:hAnsi="Times New Roman" w:eastAsia="宋体"/>
                <w:b w:val="0"/>
                <w:color w:val="000000"/>
                <w:sz w:val="24"/>
              </w:rPr>
              <w:t>固定</w:t>
            </w:r>
          </w:p>
        </w:tc>
        <w:tc>
          <w:tcPr>
            <w:tcW w:type="dxa" w:w="1837"/>
            <w:vAlign w:val="center"/>
          </w:tcPr>
          <w:p>
            <w:pPr>
              <w:spacing w:line="240" w:lineRule="auto" w:before="0" w:after="0"/>
              <w:ind w:firstLine="0"/>
            </w:pPr>
            <w:r>
              <w:rPr>
                <w:rFonts w:ascii="Times New Roman" w:hAnsi="Times New Roman" w:eastAsia="宋体"/>
                <w:b w:val="0"/>
                <w:color w:val="000000"/>
                <w:sz w:val="24"/>
              </w:rPr>
              <w:t>42,919</w:t>
            </w:r>
          </w:p>
        </w:tc>
        <w:tc>
          <w:tcPr>
            <w:tcW w:type="dxa" w:w="1837"/>
            <w:vAlign w:val="center"/>
          </w:tcPr>
          <w:p>
            <w:pPr>
              <w:spacing w:line="240" w:lineRule="auto" w:before="0" w:after="0"/>
              <w:ind w:firstLine="0"/>
            </w:pPr>
            <w:r>
              <w:rPr>
                <w:rFonts w:ascii="Times New Roman" w:hAnsi="Times New Roman" w:eastAsia="宋体"/>
                <w:b w:val="0"/>
                <w:color w:val="000000"/>
                <w:sz w:val="24"/>
              </w:rPr>
              <w:t>174</w:t>
            </w:r>
          </w:p>
        </w:tc>
        <w:tc>
          <w:tcPr>
            <w:tcW w:type="dxa" w:w="1837"/>
            <w:vAlign w:val="center"/>
          </w:tcPr>
          <w:p>
            <w:pPr>
              <w:spacing w:line="240" w:lineRule="auto" w:before="0" w:after="0"/>
              <w:ind w:firstLine="0"/>
            </w:pPr>
            <w:r>
              <w:rPr>
                <w:rFonts w:ascii="Times New Roman" w:hAnsi="Times New Roman" w:eastAsia="宋体"/>
                <w:b w:val="0"/>
                <w:color w:val="000000"/>
                <w:sz w:val="24"/>
              </w:rPr>
              <w:t>0</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事件延长</w:t>
            </w:r>
          </w:p>
        </w:tc>
        <w:tc>
          <w:tcPr>
            <w:tcW w:type="dxa" w:w="1837"/>
            <w:vAlign w:val="center"/>
          </w:tcPr>
          <w:p>
            <w:pPr>
              <w:spacing w:line="240" w:lineRule="auto" w:before="0" w:after="0"/>
              <w:ind w:firstLine="0"/>
            </w:pPr>
            <w:r>
              <w:rPr>
                <w:rFonts w:ascii="Times New Roman" w:hAnsi="Times New Roman" w:eastAsia="宋体"/>
                <w:b w:val="0"/>
                <w:color w:val="000000"/>
                <w:sz w:val="24"/>
              </w:rPr>
              <w:t>A</w:t>
            </w:r>
          </w:p>
        </w:tc>
        <w:tc>
          <w:tcPr>
            <w:tcW w:type="dxa" w:w="1837"/>
            <w:vAlign w:val="center"/>
          </w:tcPr>
          <w:p>
            <w:pPr>
              <w:spacing w:line="240" w:lineRule="auto" w:before="0" w:after="0"/>
              <w:ind w:firstLine="0"/>
            </w:pPr>
            <w:r>
              <w:rPr>
                <w:rFonts w:ascii="Times New Roman" w:hAnsi="Times New Roman" w:eastAsia="宋体"/>
                <w:b w:val="0"/>
                <w:color w:val="000000"/>
                <w:sz w:val="24"/>
              </w:rPr>
              <w:t>42,919</w:t>
            </w:r>
          </w:p>
        </w:tc>
        <w:tc>
          <w:tcPr>
            <w:tcW w:type="dxa" w:w="1837"/>
            <w:vAlign w:val="center"/>
          </w:tcPr>
          <w:p>
            <w:pPr>
              <w:spacing w:line="240" w:lineRule="auto" w:before="0" w:after="0"/>
              <w:ind w:firstLine="0"/>
            </w:pPr>
            <w:r>
              <w:rPr>
                <w:rFonts w:ascii="Times New Roman" w:hAnsi="Times New Roman" w:eastAsia="宋体"/>
                <w:b w:val="0"/>
                <w:color w:val="000000"/>
                <w:sz w:val="24"/>
              </w:rPr>
              <w:t>174</w:t>
            </w:r>
          </w:p>
        </w:tc>
        <w:tc>
          <w:tcPr>
            <w:tcW w:type="dxa" w:w="1837"/>
            <w:vAlign w:val="center"/>
          </w:tcPr>
          <w:p>
            <w:pPr>
              <w:spacing w:line="240" w:lineRule="auto" w:before="0" w:after="0"/>
              <w:ind w:firstLine="0"/>
            </w:pPr>
            <w:r>
              <w:rPr>
                <w:rFonts w:ascii="Times New Roman" w:hAnsi="Times New Roman" w:eastAsia="宋体"/>
                <w:b w:val="0"/>
                <w:color w:val="000000"/>
                <w:sz w:val="24"/>
              </w:rPr>
              <w:t>0</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事件延长</w:t>
            </w:r>
          </w:p>
        </w:tc>
        <w:tc>
          <w:tcPr>
            <w:tcW w:type="dxa" w:w="1837"/>
            <w:vAlign w:val="center"/>
          </w:tcPr>
          <w:p>
            <w:pPr>
              <w:spacing w:line="240" w:lineRule="auto" w:before="0" w:after="0"/>
              <w:ind w:firstLine="0"/>
            </w:pPr>
            <w:r>
              <w:rPr>
                <w:rFonts w:ascii="Times New Roman" w:hAnsi="Times New Roman" w:eastAsia="宋体"/>
                <w:b w:val="0"/>
                <w:color w:val="000000"/>
                <w:sz w:val="24"/>
              </w:rPr>
              <w:t>B</w:t>
            </w:r>
          </w:p>
        </w:tc>
        <w:tc>
          <w:tcPr>
            <w:tcW w:type="dxa" w:w="1837"/>
            <w:vAlign w:val="center"/>
          </w:tcPr>
          <w:p>
            <w:pPr>
              <w:spacing w:line="240" w:lineRule="auto" w:before="0" w:after="0"/>
              <w:ind w:firstLine="0"/>
            </w:pPr>
            <w:r>
              <w:rPr>
                <w:rFonts w:ascii="Times New Roman" w:hAnsi="Times New Roman" w:eastAsia="宋体"/>
                <w:b w:val="0"/>
                <w:color w:val="000000"/>
                <w:sz w:val="24"/>
              </w:rPr>
              <w:t>43,914</w:t>
            </w:r>
          </w:p>
        </w:tc>
        <w:tc>
          <w:tcPr>
            <w:tcW w:type="dxa" w:w="1837"/>
            <w:vAlign w:val="center"/>
          </w:tcPr>
          <w:p>
            <w:pPr>
              <w:spacing w:line="240" w:lineRule="auto" w:before="0" w:after="0"/>
              <w:ind w:firstLine="0"/>
            </w:pPr>
            <w:r>
              <w:rPr>
                <w:rFonts w:ascii="Times New Roman" w:hAnsi="Times New Roman" w:eastAsia="宋体"/>
                <w:b w:val="0"/>
                <w:color w:val="000000"/>
                <w:sz w:val="24"/>
              </w:rPr>
              <w:t>174</w:t>
            </w:r>
          </w:p>
        </w:tc>
        <w:tc>
          <w:tcPr>
            <w:tcW w:type="dxa" w:w="1837"/>
            <w:vAlign w:val="center"/>
          </w:tcPr>
          <w:p>
            <w:pPr>
              <w:spacing w:line="240" w:lineRule="auto" w:before="0" w:after="0"/>
              <w:ind w:firstLine="0"/>
            </w:pPr>
            <w:r>
              <w:rPr>
                <w:rFonts w:ascii="Times New Roman" w:hAnsi="Times New Roman" w:eastAsia="宋体"/>
                <w:b w:val="0"/>
                <w:color w:val="000000"/>
                <w:sz w:val="24"/>
              </w:rPr>
              <w:t>917</w:t>
            </w:r>
          </w:p>
        </w:tc>
      </w:tr>
    </w:tbl>
    <w:p>
      <w:pPr>
        <w:spacing w:after="0"/>
      </w:pPr>
    </w:p>
    <w:p>
      <w:r>
        <w:rPr>
          <w:rFonts w:ascii="Times New Roman" w:hAnsi="Times New Roman" w:eastAsia="宋体"/>
          <w:b w:val="0"/>
          <w:color w:val="000000"/>
          <w:sz w:val="24"/>
        </w:rPr>
        <w:t>B相对A的边际效应：</w:t>
      </w:r>
    </w:p>
    <w:tbl>
      <w:tblPr>
        <w:tblStyle w:val="TableGrid"/>
        <w:tblW w:type="auto" w:w="0"/>
        <w:jc w:val="center"/>
        <w:tblLook w:firstColumn="1" w:firstRow="1" w:lastColumn="0" w:lastRow="0" w:noHBand="0" w:noVBand="1" w:val="04A0"/>
      </w:tblPr>
      <w:tblGrid>
        <w:gridCol w:w="1837"/>
        <w:gridCol w:w="1837"/>
        <w:gridCol w:w="1837"/>
        <w:gridCol w:w="1837"/>
        <w:gridCol w:w="1837"/>
      </w:tblGrid>
      <w:tr>
        <w:trPr>
          <w:cantSplit/>
          <w:tblHeader/>
        </w:trPr>
        <w:tc>
          <w:tcPr>
            <w:tcW w:type="dxa" w:w="1837"/>
            <w:vAlign w:val="center"/>
          </w:tcPr>
          <w:p>
            <w:pPr>
              <w:spacing w:line="240" w:lineRule="auto" w:before="0" w:after="0"/>
              <w:ind w:firstLine="0"/>
            </w:pPr>
            <w:r>
              <w:rPr>
                <w:rFonts w:ascii="Times New Roman" w:hAnsi="Times New Roman" w:eastAsia="宋体"/>
                <w:b/>
                <w:color w:val="000000"/>
                <w:sz w:val="24"/>
              </w:rPr>
              <w:t>设置</w:t>
            </w:r>
          </w:p>
        </w:tc>
        <w:tc>
          <w:tcPr>
            <w:tcW w:type="dxa" w:w="1837"/>
            <w:vAlign w:val="center"/>
          </w:tcPr>
          <w:p>
            <w:pPr>
              <w:spacing w:line="240" w:lineRule="auto" w:before="0" w:after="0"/>
              <w:ind w:firstLine="0"/>
            </w:pPr>
            <w:r>
              <w:rPr>
                <w:rFonts w:ascii="Times New Roman" w:hAnsi="Times New Roman" w:eastAsia="宋体"/>
                <w:b/>
                <w:color w:val="000000"/>
                <w:sz w:val="24"/>
              </w:rPr>
              <w:t>普通Δ/车秒</w:t>
            </w:r>
          </w:p>
        </w:tc>
        <w:tc>
          <w:tcPr>
            <w:tcW w:type="dxa" w:w="1837"/>
            <w:vAlign w:val="center"/>
          </w:tcPr>
          <w:p>
            <w:pPr>
              <w:spacing w:line="240" w:lineRule="auto" w:before="0" w:after="0"/>
              <w:ind w:firstLine="0"/>
            </w:pPr>
            <w:r>
              <w:rPr>
                <w:rFonts w:ascii="Times New Roman" w:hAnsi="Times New Roman" w:eastAsia="宋体"/>
                <w:b/>
                <w:color w:val="000000"/>
                <w:sz w:val="24"/>
              </w:rPr>
              <w:t>任务Δ/s</w:t>
            </w:r>
          </w:p>
        </w:tc>
        <w:tc>
          <w:tcPr>
            <w:tcW w:type="dxa" w:w="1837"/>
            <w:vAlign w:val="center"/>
          </w:tcPr>
          <w:p>
            <w:pPr>
              <w:spacing w:line="240" w:lineRule="auto" w:before="0" w:after="0"/>
              <w:ind w:firstLine="0"/>
            </w:pPr>
            <w:r>
              <w:rPr>
                <w:rFonts w:ascii="Times New Roman" w:hAnsi="Times New Roman" w:eastAsia="宋体"/>
                <w:b/>
                <w:color w:val="000000"/>
                <w:sz w:val="24"/>
              </w:rPr>
              <w:t>受控车数</w:t>
            </w:r>
          </w:p>
        </w:tc>
        <w:tc>
          <w:tcPr>
            <w:tcW w:type="dxa" w:w="1837"/>
            <w:vAlign w:val="center"/>
          </w:tcPr>
          <w:p>
            <w:pPr>
              <w:spacing w:line="240" w:lineRule="auto" w:before="0" w:after="0"/>
              <w:ind w:firstLine="0"/>
            </w:pPr>
            <w:r>
              <w:rPr>
                <w:rFonts w:ascii="Times New Roman" w:hAnsi="Times New Roman" w:eastAsia="宋体"/>
                <w:b/>
                <w:color w:val="000000"/>
                <w:sz w:val="24"/>
              </w:rPr>
              <w:t>最大源端等待/s</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主设置</w:t>
            </w:r>
          </w:p>
        </w:tc>
        <w:tc>
          <w:tcPr>
            <w:tcW w:type="dxa" w:w="1837"/>
            <w:vAlign w:val="center"/>
          </w:tcPr>
          <w:p>
            <w:pPr>
              <w:spacing w:line="240" w:lineRule="auto" w:before="0" w:after="0"/>
              <w:ind w:firstLine="0"/>
            </w:pPr>
            <w:r>
              <w:rPr>
                <w:rFonts w:ascii="Times New Roman" w:hAnsi="Times New Roman" w:eastAsia="宋体"/>
                <w:b w:val="0"/>
                <w:color w:val="000000"/>
                <w:sz w:val="24"/>
              </w:rPr>
              <w:t>995</w:t>
            </w:r>
          </w:p>
        </w:tc>
        <w:tc>
          <w:tcPr>
            <w:tcW w:type="dxa" w:w="1837"/>
            <w:vAlign w:val="center"/>
          </w:tcPr>
          <w:p>
            <w:pPr>
              <w:spacing w:line="240" w:lineRule="auto" w:before="0" w:after="0"/>
              <w:ind w:firstLine="0"/>
            </w:pPr>
            <w:r>
              <w:rPr>
                <w:rFonts w:ascii="Times New Roman" w:hAnsi="Times New Roman" w:eastAsia="宋体"/>
                <w:b w:val="0"/>
                <w:color w:val="000000"/>
                <w:sz w:val="24"/>
              </w:rPr>
              <w:t>0</w:t>
            </w:r>
          </w:p>
        </w:tc>
        <w:tc>
          <w:tcPr>
            <w:tcW w:type="dxa" w:w="1837"/>
            <w:vAlign w:val="center"/>
          </w:tcPr>
          <w:p>
            <w:pPr>
              <w:spacing w:line="240" w:lineRule="auto" w:before="0" w:after="0"/>
              <w:ind w:firstLine="0"/>
            </w:pPr>
            <w:r>
              <w:rPr>
                <w:rFonts w:ascii="Times New Roman" w:hAnsi="Times New Roman" w:eastAsia="宋体"/>
                <w:b w:val="0"/>
                <w:color w:val="000000"/>
                <w:sz w:val="24"/>
              </w:rPr>
              <w:t>24</w:t>
            </w:r>
          </w:p>
        </w:tc>
        <w:tc>
          <w:tcPr>
            <w:tcW w:type="dxa" w:w="1837"/>
            <w:vAlign w:val="center"/>
          </w:tcPr>
          <w:p>
            <w:pPr>
              <w:spacing w:line="240" w:lineRule="auto" w:before="0" w:after="0"/>
              <w:ind w:firstLine="0"/>
            </w:pPr>
            <w:r>
              <w:rPr>
                <w:rFonts w:ascii="Times New Roman" w:hAnsi="Times New Roman" w:eastAsia="宋体"/>
                <w:b w:val="0"/>
                <w:color w:val="000000"/>
                <w:sz w:val="24"/>
              </w:rPr>
              <w:t>45</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需求加倍</w:t>
            </w:r>
          </w:p>
        </w:tc>
        <w:tc>
          <w:tcPr>
            <w:tcW w:type="dxa" w:w="1837"/>
            <w:vAlign w:val="center"/>
          </w:tcPr>
          <w:p>
            <w:pPr>
              <w:spacing w:line="240" w:lineRule="auto" w:before="0" w:after="0"/>
              <w:ind w:firstLine="0"/>
            </w:pPr>
            <w:r>
              <w:rPr>
                <w:rFonts w:ascii="Times New Roman" w:hAnsi="Times New Roman" w:eastAsia="宋体"/>
                <w:b w:val="0"/>
                <w:color w:val="000000"/>
                <w:sz w:val="24"/>
              </w:rPr>
              <w:t>-3,340</w:t>
            </w:r>
          </w:p>
        </w:tc>
        <w:tc>
          <w:tcPr>
            <w:tcW w:type="dxa" w:w="1837"/>
            <w:vAlign w:val="center"/>
          </w:tcPr>
          <w:p>
            <w:pPr>
              <w:spacing w:line="240" w:lineRule="auto" w:before="0" w:after="0"/>
              <w:ind w:firstLine="0"/>
            </w:pPr>
            <w:r>
              <w:rPr>
                <w:rFonts w:ascii="Times New Roman" w:hAnsi="Times New Roman" w:eastAsia="宋体"/>
                <w:b w:val="0"/>
                <w:color w:val="000000"/>
                <w:sz w:val="24"/>
              </w:rPr>
              <w:t>-60</w:t>
            </w:r>
          </w:p>
        </w:tc>
        <w:tc>
          <w:tcPr>
            <w:tcW w:type="dxa" w:w="1837"/>
            <w:vAlign w:val="center"/>
          </w:tcPr>
          <w:p>
            <w:pPr>
              <w:spacing w:line="240" w:lineRule="auto" w:before="0" w:after="0"/>
              <w:ind w:firstLine="0"/>
            </w:pPr>
            <w:r>
              <w:rPr>
                <w:rFonts w:ascii="Times New Roman" w:hAnsi="Times New Roman" w:eastAsia="宋体"/>
                <w:b w:val="0"/>
                <w:color w:val="000000"/>
                <w:sz w:val="24"/>
              </w:rPr>
              <w:t>48</w:t>
            </w:r>
          </w:p>
        </w:tc>
        <w:tc>
          <w:tcPr>
            <w:tcW w:type="dxa" w:w="1837"/>
            <w:vAlign w:val="center"/>
          </w:tcPr>
          <w:p>
            <w:pPr>
              <w:spacing w:line="240" w:lineRule="auto" w:before="0" w:after="0"/>
              <w:ind w:firstLine="0"/>
            </w:pPr>
            <w:r>
              <w:rPr>
                <w:rFonts w:ascii="Times New Roman" w:hAnsi="Times New Roman" w:eastAsia="宋体"/>
                <w:b w:val="0"/>
                <w:color w:val="000000"/>
                <w:sz w:val="24"/>
              </w:rPr>
              <w:t>45</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更强慢行</w:t>
            </w:r>
          </w:p>
        </w:tc>
        <w:tc>
          <w:tcPr>
            <w:tcW w:type="dxa" w:w="1837"/>
            <w:vAlign w:val="center"/>
          </w:tcPr>
          <w:p>
            <w:pPr>
              <w:spacing w:line="240" w:lineRule="auto" w:before="0" w:after="0"/>
              <w:ind w:firstLine="0"/>
            </w:pPr>
            <w:r>
              <w:rPr>
                <w:rFonts w:ascii="Times New Roman" w:hAnsi="Times New Roman" w:eastAsia="宋体"/>
                <w:b w:val="0"/>
                <w:color w:val="000000"/>
                <w:sz w:val="24"/>
              </w:rPr>
              <w:t>1,000</w:t>
            </w:r>
          </w:p>
        </w:tc>
        <w:tc>
          <w:tcPr>
            <w:tcW w:type="dxa" w:w="1837"/>
            <w:vAlign w:val="center"/>
          </w:tcPr>
          <w:p>
            <w:pPr>
              <w:spacing w:line="240" w:lineRule="auto" w:before="0" w:after="0"/>
              <w:ind w:firstLine="0"/>
            </w:pPr>
            <w:r>
              <w:rPr>
                <w:rFonts w:ascii="Times New Roman" w:hAnsi="Times New Roman" w:eastAsia="宋体"/>
                <w:b w:val="0"/>
                <w:color w:val="000000"/>
                <w:sz w:val="24"/>
              </w:rPr>
              <w:t>1</w:t>
            </w:r>
          </w:p>
        </w:tc>
        <w:tc>
          <w:tcPr>
            <w:tcW w:type="dxa" w:w="1837"/>
            <w:vAlign w:val="center"/>
          </w:tcPr>
          <w:p>
            <w:pPr>
              <w:spacing w:line="240" w:lineRule="auto" w:before="0" w:after="0"/>
              <w:ind w:firstLine="0"/>
            </w:pPr>
            <w:r>
              <w:rPr>
                <w:rFonts w:ascii="Times New Roman" w:hAnsi="Times New Roman" w:eastAsia="宋体"/>
                <w:b w:val="0"/>
                <w:color w:val="000000"/>
                <w:sz w:val="24"/>
              </w:rPr>
              <w:t>25</w:t>
            </w:r>
          </w:p>
        </w:tc>
        <w:tc>
          <w:tcPr>
            <w:tcW w:type="dxa" w:w="1837"/>
            <w:vAlign w:val="center"/>
          </w:tcPr>
          <w:p>
            <w:pPr>
              <w:spacing w:line="240" w:lineRule="auto" w:before="0" w:after="0"/>
              <w:ind w:firstLine="0"/>
            </w:pPr>
            <w:r>
              <w:rPr>
                <w:rFonts w:ascii="Times New Roman" w:hAnsi="Times New Roman" w:eastAsia="宋体"/>
                <w:b w:val="0"/>
                <w:color w:val="000000"/>
                <w:sz w:val="24"/>
              </w:rPr>
              <w:t>45</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事件延长</w:t>
            </w:r>
          </w:p>
        </w:tc>
        <w:tc>
          <w:tcPr>
            <w:tcW w:type="dxa" w:w="1837"/>
            <w:vAlign w:val="center"/>
          </w:tcPr>
          <w:p>
            <w:pPr>
              <w:spacing w:line="240" w:lineRule="auto" w:before="0" w:after="0"/>
              <w:ind w:firstLine="0"/>
            </w:pPr>
            <w:r>
              <w:rPr>
                <w:rFonts w:ascii="Times New Roman" w:hAnsi="Times New Roman" w:eastAsia="宋体"/>
                <w:b w:val="0"/>
                <w:color w:val="000000"/>
                <w:sz w:val="24"/>
              </w:rPr>
              <w:t>995</w:t>
            </w:r>
          </w:p>
        </w:tc>
        <w:tc>
          <w:tcPr>
            <w:tcW w:type="dxa" w:w="1837"/>
            <w:vAlign w:val="center"/>
          </w:tcPr>
          <w:p>
            <w:pPr>
              <w:spacing w:line="240" w:lineRule="auto" w:before="0" w:after="0"/>
              <w:ind w:firstLine="0"/>
            </w:pPr>
            <w:r>
              <w:rPr>
                <w:rFonts w:ascii="Times New Roman" w:hAnsi="Times New Roman" w:eastAsia="宋体"/>
                <w:b w:val="0"/>
                <w:color w:val="000000"/>
                <w:sz w:val="24"/>
              </w:rPr>
              <w:t>0</w:t>
            </w:r>
          </w:p>
        </w:tc>
        <w:tc>
          <w:tcPr>
            <w:tcW w:type="dxa" w:w="1837"/>
            <w:vAlign w:val="center"/>
          </w:tcPr>
          <w:p>
            <w:pPr>
              <w:spacing w:line="240" w:lineRule="auto" w:before="0" w:after="0"/>
              <w:ind w:firstLine="0"/>
            </w:pPr>
            <w:r>
              <w:rPr>
                <w:rFonts w:ascii="Times New Roman" w:hAnsi="Times New Roman" w:eastAsia="宋体"/>
                <w:b w:val="0"/>
                <w:color w:val="000000"/>
                <w:sz w:val="24"/>
              </w:rPr>
              <w:t>24</w:t>
            </w:r>
          </w:p>
        </w:tc>
        <w:tc>
          <w:tcPr>
            <w:tcW w:type="dxa" w:w="1837"/>
            <w:vAlign w:val="center"/>
          </w:tcPr>
          <w:p>
            <w:pPr>
              <w:spacing w:line="240" w:lineRule="auto" w:before="0" w:after="0"/>
              <w:ind w:firstLine="0"/>
            </w:pPr>
            <w:r>
              <w:rPr>
                <w:rFonts w:ascii="Times New Roman" w:hAnsi="Times New Roman" w:eastAsia="宋体"/>
                <w:b w:val="0"/>
                <w:color w:val="000000"/>
                <w:sz w:val="24"/>
              </w:rPr>
              <w:t>45</w:t>
            </w:r>
          </w:p>
        </w:tc>
      </w:tr>
    </w:tbl>
    <w:p>
      <w:pPr>
        <w:spacing w:after="0"/>
      </w:pPr>
    </w:p>
    <w:p>
      <w:r>
        <w:rPr>
          <w:rFonts w:ascii="Times New Roman" w:hAnsi="Times New Roman" w:eastAsia="宋体"/>
          <w:b w:val="0"/>
          <w:color w:val="000000"/>
          <w:sz w:val="24"/>
        </w:rPr>
        <w:t>逐车分布由同一车辆编号和原始释放时刻对账，45秒上限不保证任何车辆总损失≤45秒：</w:t>
      </w:r>
    </w:p>
    <w:tbl>
      <w:tblPr>
        <w:tblStyle w:val="TableGrid"/>
        <w:tblW w:type="auto" w:w="0"/>
        <w:jc w:val="center"/>
        <w:tblLook w:firstColumn="1" w:firstRow="1" w:lastColumn="0" w:lastRow="0" w:noHBand="0" w:noVBand="1" w:val="04A0"/>
      </w:tblPr>
      <w:tblGrid>
        <w:gridCol w:w="1837"/>
        <w:gridCol w:w="1837"/>
        <w:gridCol w:w="1837"/>
        <w:gridCol w:w="1837"/>
        <w:gridCol w:w="1837"/>
      </w:tblGrid>
      <w:tr>
        <w:trPr>
          <w:cantSplit/>
          <w:tblHeader/>
        </w:trPr>
        <w:tc>
          <w:tcPr>
            <w:tcW w:type="dxa" w:w="1837"/>
            <w:vAlign w:val="center"/>
          </w:tcPr>
          <w:p>
            <w:pPr>
              <w:spacing w:line="240" w:lineRule="auto" w:before="0" w:after="0"/>
              <w:ind w:firstLine="0"/>
            </w:pPr>
            <w:r>
              <w:rPr>
                <w:rFonts w:ascii="Times New Roman" w:hAnsi="Times New Roman" w:eastAsia="宋体"/>
                <w:b/>
                <w:color w:val="000000"/>
                <w:sz w:val="24"/>
              </w:rPr>
              <w:t>设置</w:t>
            </w:r>
          </w:p>
        </w:tc>
        <w:tc>
          <w:tcPr>
            <w:tcW w:type="dxa" w:w="1837"/>
            <w:vAlign w:val="center"/>
          </w:tcPr>
          <w:p>
            <w:pPr>
              <w:spacing w:line="240" w:lineRule="auto" w:before="0" w:after="0"/>
              <w:ind w:firstLine="0"/>
            </w:pPr>
            <w:r>
              <w:rPr>
                <w:rFonts w:ascii="Times New Roman" w:hAnsi="Times New Roman" w:eastAsia="宋体"/>
                <w:b/>
                <w:color w:val="000000"/>
                <w:sz w:val="24"/>
              </w:rPr>
              <w:t>变快/辆</w:t>
            </w:r>
          </w:p>
        </w:tc>
        <w:tc>
          <w:tcPr>
            <w:tcW w:type="dxa" w:w="1837"/>
            <w:vAlign w:val="center"/>
          </w:tcPr>
          <w:p>
            <w:pPr>
              <w:spacing w:line="240" w:lineRule="auto" w:before="0" w:after="0"/>
              <w:ind w:firstLine="0"/>
            </w:pPr>
            <w:r>
              <w:rPr>
                <w:rFonts w:ascii="Times New Roman" w:hAnsi="Times New Roman" w:eastAsia="宋体"/>
                <w:b/>
                <w:color w:val="000000"/>
                <w:sz w:val="24"/>
              </w:rPr>
              <w:t>变慢/辆</w:t>
            </w:r>
          </w:p>
        </w:tc>
        <w:tc>
          <w:tcPr>
            <w:tcW w:type="dxa" w:w="1837"/>
            <w:vAlign w:val="center"/>
          </w:tcPr>
          <w:p>
            <w:pPr>
              <w:spacing w:line="240" w:lineRule="auto" w:before="0" w:after="0"/>
              <w:ind w:firstLine="0"/>
            </w:pPr>
            <w:r>
              <w:rPr>
                <w:rFonts w:ascii="Times New Roman" w:hAnsi="Times New Roman" w:eastAsia="宋体"/>
                <w:b/>
                <w:color w:val="000000"/>
                <w:sz w:val="24"/>
              </w:rPr>
              <w:t>不变/辆</w:t>
            </w:r>
          </w:p>
        </w:tc>
        <w:tc>
          <w:tcPr>
            <w:tcW w:type="dxa" w:w="1837"/>
            <w:vAlign w:val="center"/>
          </w:tcPr>
          <w:p>
            <w:pPr>
              <w:spacing w:line="240" w:lineRule="auto" w:before="0" w:after="0"/>
              <w:ind w:firstLine="0"/>
            </w:pPr>
            <w:r>
              <w:rPr>
                <w:rFonts w:ascii="Times New Roman" w:hAnsi="Times New Roman" w:eastAsia="宋体"/>
                <w:b/>
                <w:color w:val="000000"/>
                <w:sz w:val="24"/>
              </w:rPr>
              <w:t>最大总损失/s</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主设置</w:t>
            </w:r>
          </w:p>
        </w:tc>
        <w:tc>
          <w:tcPr>
            <w:tcW w:type="dxa" w:w="1837"/>
            <w:vAlign w:val="center"/>
          </w:tcPr>
          <w:p>
            <w:pPr>
              <w:spacing w:line="240" w:lineRule="auto" w:before="0" w:after="0"/>
              <w:ind w:firstLine="0"/>
            </w:pPr>
            <w:r>
              <w:rPr>
                <w:rFonts w:ascii="Times New Roman" w:hAnsi="Times New Roman" w:eastAsia="宋体"/>
                <w:b w:val="0"/>
                <w:color w:val="000000"/>
                <w:sz w:val="24"/>
              </w:rPr>
              <w:t>8</w:t>
            </w:r>
          </w:p>
        </w:tc>
        <w:tc>
          <w:tcPr>
            <w:tcW w:type="dxa" w:w="1837"/>
            <w:vAlign w:val="center"/>
          </w:tcPr>
          <w:p>
            <w:pPr>
              <w:spacing w:line="240" w:lineRule="auto" w:before="0" w:after="0"/>
              <w:ind w:firstLine="0"/>
            </w:pPr>
            <w:r>
              <w:rPr>
                <w:rFonts w:ascii="Times New Roman" w:hAnsi="Times New Roman" w:eastAsia="宋体"/>
                <w:b w:val="0"/>
                <w:color w:val="000000"/>
                <w:sz w:val="24"/>
              </w:rPr>
              <w:t>32</w:t>
            </w:r>
          </w:p>
        </w:tc>
        <w:tc>
          <w:tcPr>
            <w:tcW w:type="dxa" w:w="1837"/>
            <w:vAlign w:val="center"/>
          </w:tcPr>
          <w:p>
            <w:pPr>
              <w:spacing w:line="240" w:lineRule="auto" w:before="0" w:after="0"/>
              <w:ind w:firstLine="0"/>
            </w:pPr>
            <w:r>
              <w:rPr>
                <w:rFonts w:ascii="Times New Roman" w:hAnsi="Times New Roman" w:eastAsia="宋体"/>
                <w:b w:val="0"/>
                <w:color w:val="000000"/>
                <w:sz w:val="24"/>
              </w:rPr>
              <w:t>200</w:t>
            </w:r>
          </w:p>
        </w:tc>
        <w:tc>
          <w:tcPr>
            <w:tcW w:type="dxa" w:w="1837"/>
            <w:vAlign w:val="center"/>
          </w:tcPr>
          <w:p>
            <w:pPr>
              <w:spacing w:line="240" w:lineRule="auto" w:before="0" w:after="0"/>
              <w:ind w:firstLine="0"/>
            </w:pPr>
            <w:r>
              <w:rPr>
                <w:rFonts w:ascii="Times New Roman" w:hAnsi="Times New Roman" w:eastAsia="宋体"/>
                <w:b w:val="0"/>
                <w:color w:val="000000"/>
                <w:sz w:val="24"/>
              </w:rPr>
              <w:t>58</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需求加倍</w:t>
            </w:r>
          </w:p>
        </w:tc>
        <w:tc>
          <w:tcPr>
            <w:tcW w:type="dxa" w:w="1837"/>
            <w:vAlign w:val="center"/>
          </w:tcPr>
          <w:p>
            <w:pPr>
              <w:spacing w:line="240" w:lineRule="auto" w:before="0" w:after="0"/>
              <w:ind w:firstLine="0"/>
            </w:pPr>
            <w:r>
              <w:rPr>
                <w:rFonts w:ascii="Times New Roman" w:hAnsi="Times New Roman" w:eastAsia="宋体"/>
                <w:b w:val="0"/>
                <w:color w:val="000000"/>
                <w:sz w:val="24"/>
              </w:rPr>
              <w:t>127</w:t>
            </w:r>
          </w:p>
        </w:tc>
        <w:tc>
          <w:tcPr>
            <w:tcW w:type="dxa" w:w="1837"/>
            <w:vAlign w:val="center"/>
          </w:tcPr>
          <w:p>
            <w:pPr>
              <w:spacing w:line="240" w:lineRule="auto" w:before="0" w:after="0"/>
              <w:ind w:firstLine="0"/>
            </w:pPr>
            <w:r>
              <w:rPr>
                <w:rFonts w:ascii="Times New Roman" w:hAnsi="Times New Roman" w:eastAsia="宋体"/>
                <w:b w:val="0"/>
                <w:color w:val="000000"/>
                <w:sz w:val="24"/>
              </w:rPr>
              <w:t>30</w:t>
            </w:r>
          </w:p>
        </w:tc>
        <w:tc>
          <w:tcPr>
            <w:tcW w:type="dxa" w:w="1837"/>
            <w:vAlign w:val="center"/>
          </w:tcPr>
          <w:p>
            <w:pPr>
              <w:spacing w:line="240" w:lineRule="auto" w:before="0" w:after="0"/>
              <w:ind w:firstLine="0"/>
            </w:pPr>
            <w:r>
              <w:rPr>
                <w:rFonts w:ascii="Times New Roman" w:hAnsi="Times New Roman" w:eastAsia="宋体"/>
                <w:b w:val="0"/>
                <w:color w:val="000000"/>
                <w:sz w:val="24"/>
              </w:rPr>
              <w:t>323</w:t>
            </w:r>
          </w:p>
        </w:tc>
        <w:tc>
          <w:tcPr>
            <w:tcW w:type="dxa" w:w="1837"/>
            <w:vAlign w:val="center"/>
          </w:tcPr>
          <w:p>
            <w:pPr>
              <w:spacing w:line="240" w:lineRule="auto" w:before="0" w:after="0"/>
              <w:ind w:firstLine="0"/>
            </w:pPr>
            <w:r>
              <w:rPr>
                <w:rFonts w:ascii="Times New Roman" w:hAnsi="Times New Roman" w:eastAsia="宋体"/>
                <w:b w:val="0"/>
                <w:color w:val="000000"/>
                <w:sz w:val="24"/>
              </w:rPr>
              <w:t>45</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更强慢行</w:t>
            </w:r>
          </w:p>
        </w:tc>
        <w:tc>
          <w:tcPr>
            <w:tcW w:type="dxa" w:w="1837"/>
            <w:vAlign w:val="center"/>
          </w:tcPr>
          <w:p>
            <w:pPr>
              <w:spacing w:line="240" w:lineRule="auto" w:before="0" w:after="0"/>
              <w:ind w:firstLine="0"/>
            </w:pPr>
            <w:r>
              <w:rPr>
                <w:rFonts w:ascii="Times New Roman" w:hAnsi="Times New Roman" w:eastAsia="宋体"/>
                <w:b w:val="0"/>
                <w:color w:val="000000"/>
                <w:sz w:val="24"/>
              </w:rPr>
              <w:t>10</w:t>
            </w:r>
          </w:p>
        </w:tc>
        <w:tc>
          <w:tcPr>
            <w:tcW w:type="dxa" w:w="1837"/>
            <w:vAlign w:val="center"/>
          </w:tcPr>
          <w:p>
            <w:pPr>
              <w:spacing w:line="240" w:lineRule="auto" w:before="0" w:after="0"/>
              <w:ind w:firstLine="0"/>
            </w:pPr>
            <w:r>
              <w:rPr>
                <w:rFonts w:ascii="Times New Roman" w:hAnsi="Times New Roman" w:eastAsia="宋体"/>
                <w:b w:val="0"/>
                <w:color w:val="000000"/>
                <w:sz w:val="24"/>
              </w:rPr>
              <w:t>30</w:t>
            </w:r>
          </w:p>
        </w:tc>
        <w:tc>
          <w:tcPr>
            <w:tcW w:type="dxa" w:w="1837"/>
            <w:vAlign w:val="center"/>
          </w:tcPr>
          <w:p>
            <w:pPr>
              <w:spacing w:line="240" w:lineRule="auto" w:before="0" w:after="0"/>
              <w:ind w:firstLine="0"/>
            </w:pPr>
            <w:r>
              <w:rPr>
                <w:rFonts w:ascii="Times New Roman" w:hAnsi="Times New Roman" w:eastAsia="宋体"/>
                <w:b w:val="0"/>
                <w:color w:val="000000"/>
                <w:sz w:val="24"/>
              </w:rPr>
              <w:t>200</w:t>
            </w:r>
          </w:p>
        </w:tc>
        <w:tc>
          <w:tcPr>
            <w:tcW w:type="dxa" w:w="1837"/>
            <w:vAlign w:val="center"/>
          </w:tcPr>
          <w:p>
            <w:pPr>
              <w:spacing w:line="240" w:lineRule="auto" w:before="0" w:after="0"/>
              <w:ind w:firstLine="0"/>
            </w:pPr>
            <w:r>
              <w:rPr>
                <w:rFonts w:ascii="Times New Roman" w:hAnsi="Times New Roman" w:eastAsia="宋体"/>
                <w:b w:val="0"/>
                <w:color w:val="000000"/>
                <w:sz w:val="24"/>
              </w:rPr>
              <w:t>46</w:t>
            </w:r>
          </w:p>
        </w:tc>
      </w:tr>
      <w:tr>
        <w:trPr>
          <w:cantSplit/>
        </w:trPr>
        <w:tc>
          <w:tcPr>
            <w:tcW w:type="dxa" w:w="1837"/>
            <w:vAlign w:val="center"/>
          </w:tcPr>
          <w:p>
            <w:pPr>
              <w:spacing w:line="240" w:lineRule="auto" w:before="0" w:after="0"/>
              <w:ind w:firstLine="0"/>
            </w:pPr>
            <w:r>
              <w:rPr>
                <w:rFonts w:ascii="Times New Roman" w:hAnsi="Times New Roman" w:eastAsia="宋体"/>
                <w:b w:val="0"/>
                <w:color w:val="000000"/>
                <w:sz w:val="24"/>
              </w:rPr>
              <w:t>事件延长</w:t>
            </w:r>
          </w:p>
        </w:tc>
        <w:tc>
          <w:tcPr>
            <w:tcW w:type="dxa" w:w="1837"/>
            <w:vAlign w:val="center"/>
          </w:tcPr>
          <w:p>
            <w:pPr>
              <w:spacing w:line="240" w:lineRule="auto" w:before="0" w:after="0"/>
              <w:ind w:firstLine="0"/>
            </w:pPr>
            <w:r>
              <w:rPr>
                <w:rFonts w:ascii="Times New Roman" w:hAnsi="Times New Roman" w:eastAsia="宋体"/>
                <w:b w:val="0"/>
                <w:color w:val="000000"/>
                <w:sz w:val="24"/>
              </w:rPr>
              <w:t>8</w:t>
            </w:r>
          </w:p>
        </w:tc>
        <w:tc>
          <w:tcPr>
            <w:tcW w:type="dxa" w:w="1837"/>
            <w:vAlign w:val="center"/>
          </w:tcPr>
          <w:p>
            <w:pPr>
              <w:spacing w:line="240" w:lineRule="auto" w:before="0" w:after="0"/>
              <w:ind w:firstLine="0"/>
            </w:pPr>
            <w:r>
              <w:rPr>
                <w:rFonts w:ascii="Times New Roman" w:hAnsi="Times New Roman" w:eastAsia="宋体"/>
                <w:b w:val="0"/>
                <w:color w:val="000000"/>
                <w:sz w:val="24"/>
              </w:rPr>
              <w:t>32</w:t>
            </w:r>
          </w:p>
        </w:tc>
        <w:tc>
          <w:tcPr>
            <w:tcW w:type="dxa" w:w="1837"/>
            <w:vAlign w:val="center"/>
          </w:tcPr>
          <w:p>
            <w:pPr>
              <w:spacing w:line="240" w:lineRule="auto" w:before="0" w:after="0"/>
              <w:ind w:firstLine="0"/>
            </w:pPr>
            <w:r>
              <w:rPr>
                <w:rFonts w:ascii="Times New Roman" w:hAnsi="Times New Roman" w:eastAsia="宋体"/>
                <w:b w:val="0"/>
                <w:color w:val="000000"/>
                <w:sz w:val="24"/>
              </w:rPr>
              <w:t>200</w:t>
            </w:r>
          </w:p>
        </w:tc>
        <w:tc>
          <w:tcPr>
            <w:tcW w:type="dxa" w:w="1837"/>
            <w:vAlign w:val="center"/>
          </w:tcPr>
          <w:p>
            <w:pPr>
              <w:spacing w:line="240" w:lineRule="auto" w:before="0" w:after="0"/>
              <w:ind w:firstLine="0"/>
            </w:pPr>
            <w:r>
              <w:rPr>
                <w:rFonts w:ascii="Times New Roman" w:hAnsi="Times New Roman" w:eastAsia="宋体"/>
                <w:b w:val="0"/>
                <w:color w:val="000000"/>
                <w:sz w:val="24"/>
              </w:rPr>
              <w:t>58</w:t>
            </w:r>
          </w:p>
        </w:tc>
      </w:tr>
    </w:tbl>
    <w:p>
      <w:pPr>
        <w:spacing w:after="0"/>
      </w:pPr>
    </w:p>
    <w:p>
      <w:r>
        <w:rPr>
          <w:rFonts w:ascii="Times New Roman" w:hAnsi="Times New Roman" w:eastAsia="宋体"/>
          <w:b w:val="0"/>
          <w:color w:val="000000"/>
          <w:sz w:val="24"/>
        </w:rPr>
        <w:t>高需求组普通交通总体减少3340车秒，仍有30辆变慢、127辆变快；主设置和长事件组单车最大总损失58秒。本文只称源端控制等待有界与总体条件性改善，不称帕累托改善。</w:t>
      </w:r>
    </w:p>
    <w:p>
      <w:pPr>
        <w:pStyle w:val="Heading2"/>
        <w:spacing w:before="120" w:after="120"/>
        <w:ind w:firstLine="0"/>
      </w:pPr>
      <w:r>
        <w:rPr>
          <w:rFonts w:ascii="Times New Roman" w:hAnsi="Times New Roman" w:eastAsia="宋体"/>
          <w:b/>
          <w:color w:val="000000"/>
          <w:sz w:val="24"/>
        </w:rPr>
        <w:t>7.2 机制解释与三情景衔接</w:t>
      </w:r>
    </w:p>
    <w:p>
      <w:r>
        <w:rPr>
          <w:rFonts w:ascii="Times New Roman" w:hAnsi="Times New Roman" w:eastAsia="宋体"/>
          <w:b w:val="0"/>
          <w:color w:val="000000"/>
          <w:sz w:val="24"/>
        </w:rPr>
        <w:t>S1提供统一的微观基准和路线时间参照；S2只在原基础上加入慢行并改变选路；S3再增加任务及有界协调。由此可以区分“事件本身造成的代价”“A的路线选择作用”和“B在A之上的边际作用”，不把不同需求规模下的运行差异误写成治理收益。</w:t>
      </w:r>
    </w:p>
    <w:p>
      <w:r>
        <w:rPr>
          <w:rFonts w:ascii="Times New Roman" w:hAnsi="Times New Roman" w:eastAsia="宋体"/>
          <w:b w:val="0"/>
          <w:color w:val="000000"/>
          <w:sz w:val="24"/>
        </w:rPr>
        <w:t>A只在0.5 m/s的更强慢行情景改变路线：S2普通总时间49071降至44766车秒，减少4305车秒（8.77%）；S3固定至A，普通总时间50226降至44774车秒，任务323降至200秒。1 m/s主设置、需求加倍与事件延长下，当前外部边成本仍选择默认路径，A均无收益。这符合长绕行与局部慢行成本之间的权衡，也暴露了不预测排队的局限。</w:t>
      </w:r>
    </w:p>
    <w:p>
      <w:r>
        <w:rPr>
          <w:rFonts w:ascii="Times New Roman" w:hAnsi="Times New Roman" w:eastAsia="宋体"/>
          <w:b w:val="0"/>
          <w:color w:val="000000"/>
          <w:sz w:val="24"/>
        </w:rPr>
        <w:t>B在高需求S3相对A使任务292降至232秒，减少60秒（20.55%）；普通完整时间108374降至105034车秒，减少3340车秒（3.08%）。其代价分解为：源端等待0增至1887车秒，入网等待7873降至7398车秒，在网时间100501降至95749车秒。源端等待没有被删除，任务两组均在720秒实际入网，到达1012秒和952秒，收益并非提前发车。</w:t>
      </w:r>
    </w:p>
    <w:p>
      <w:r>
        <w:rPr>
          <w:rFonts w:ascii="Times New Roman" w:hAnsi="Times New Roman" w:eastAsia="宋体"/>
          <w:b w:val="0"/>
          <w:color w:val="000000"/>
          <w:sz w:val="24"/>
        </w:rPr>
        <w:t>主设置B未改善174秒任务时间，却增加995车秒普通成本；更强慢行中B使任务200增至201秒、普通增加1000车秒；事件延长亦增加995车秒而任务不变。模型内一种合理解释是，高需求下延后部分入流降低了任务走廊的后续竞争；较低需求时相同控制偏强，额外等待与恢复放行团簇反而造成代价。这里是仿真机制解释，不是现场因果结论。</w:t>
      </w:r>
    </w:p>
    <w:p>
      <w:pPr>
        <w:keepNext/>
        <w:ind w:firstLine="0"/>
      </w:pPr>
      <w:r>
        <w:drawing>
          <wp:inline xmlns:a="http://schemas.openxmlformats.org/drawingml/2006/main" xmlns:pic="http://schemas.openxmlformats.org/drawingml/2006/picture">
            <wp:extent cx="5724000" cy="3625200"/>
            <wp:docPr id="3" name="Picture 3"/>
            <wp:cNvGraphicFramePr>
              <a:graphicFrameLocks noChangeAspect="1"/>
            </wp:cNvGraphicFramePr>
            <a:graphic>
              <a:graphicData uri="http://schemas.openxmlformats.org/drawingml/2006/picture">
                <pic:pic>
                  <pic:nvPicPr>
                    <pic:cNvPr id="0" name="scenario_timeseries.png"/>
                    <pic:cNvPicPr/>
                  </pic:nvPicPr>
                  <pic:blipFill>
                    <a:blip r:embed="rId12"/>
                    <a:stretch>
                      <a:fillRect/>
                    </a:stretch>
                  </pic:blipFill>
                  <pic:spPr>
                    <a:xfrm>
                      <a:off x="0" y="0"/>
                      <a:ext cx="5724000" cy="3625200"/>
                    </a:xfrm>
                    <a:prstGeom prst="rect"/>
                  </pic:spPr>
                </pic:pic>
              </a:graphicData>
            </a:graphic>
          </wp:inline>
        </w:drawing>
      </w:r>
    </w:p>
    <w:p>
      <w:pPr>
        <w:ind w:firstLine="0"/>
        <w:jc w:val="center"/>
      </w:pPr>
      <w:r>
        <w:rPr>
          <w:rFonts w:ascii="Times New Roman" w:hAnsi="Times New Roman" w:eastAsia="宋体"/>
          <w:b w:val="0"/>
          <w:color w:val="000000"/>
          <w:sz w:val="24"/>
        </w:rPr>
        <w:t>图3 AI辅助统计实际5秒仿真输出：上为在网车辆数，下为B源端等待数；横轴不表示实测交通时间。</w:t>
      </w:r>
    </w:p>
    <w:p>
      <w:r>
        <w:rPr>
          <w:rFonts w:ascii="Times New Roman" w:hAnsi="Times New Roman" w:eastAsia="宋体"/>
          <w:b w:val="0"/>
          <w:color w:val="000000"/>
          <w:sz w:val="24"/>
        </w:rPr>
        <w:t>图3保留事件开始600秒、任务发布720秒和控制窗口结束900秒的时序。在任务发布前，A/B的FCD状态逐项一致；发布后路线分配相同，只改变许可源端放行。该逐步核验支持将本轮A/B差异归于已实现控制机制，但不排除真实系统中尚未建模的其他影响。</w:t>
      </w:r>
    </w:p>
    <w:p>
      <w:pPr>
        <w:pStyle w:val="Heading1"/>
        <w:spacing w:before="200" w:after="120"/>
        <w:ind w:firstLine="0"/>
        <w:jc w:val="center"/>
      </w:pPr>
      <w:r>
        <w:rPr>
          <w:rFonts w:ascii="Times New Roman" w:hAnsi="Times New Roman" w:eastAsia="黑体"/>
          <w:b/>
          <w:color w:val="000000"/>
          <w:sz w:val="28"/>
        </w:rPr>
        <w:t>8 泛化、局限与可复现性</w:t>
      </w:r>
    </w:p>
    <w:p>
      <w:r>
        <w:rPr>
          <w:rFonts w:ascii="Times New Roman" w:hAnsi="Times New Roman" w:eastAsia="宋体"/>
          <w:b w:val="0"/>
          <w:color w:val="000000"/>
          <w:sz w:val="24"/>
        </w:rPr>
        <w:t>空间可迁移性来自坐标、方向图、候选目录和仿真接口的分离：替换研究区时应重新获取合法转向、检验来源几何并重新审计候选，不能沿用本街区的通行结论。时间可迁移性依赖冻结模型在后续时间块的误差，而不能由同源距离吻合推断；跨日误差变大时应报告分布变化并更新数据。</w:t>
      </w:r>
    </w:p>
    <w:p>
      <w:r>
        <w:rPr>
          <w:rFonts w:ascii="Times New Roman" w:hAnsi="Times New Roman" w:eastAsia="宋体"/>
          <w:b w:val="0"/>
          <w:color w:val="000000"/>
          <w:sz w:val="24"/>
        </w:rPr>
        <w:t>研究仍存在四类边界。第一，官方路线规划是可信的平台服务，但其ETA不是独立车辆实测，状态的源时间也可能未知。第二，当前子图未覆盖街区全部道路、车道与信号，缺失转向被保守视为不可用。第三，OD流量、单车道、限速及事件来自公开假设；现实容量和行为参数尚未辨识。第四，源端协调要求可控制的出发主体，真实城市部署还需管理权限、通信延迟和安全评估。</w:t>
      </w:r>
    </w:p>
    <w:p>
      <w:r>
        <w:rPr>
          <w:rFonts w:ascii="Times New Roman" w:hAnsi="Times New Roman" w:eastAsia="宋体"/>
          <w:b w:val="0"/>
          <w:color w:val="000000"/>
          <w:sz w:val="24"/>
        </w:rPr>
        <w:t>这些边界决定了本文可以回答“在已观测拓扑与公开参数下，程序能否合法执行、成本怎样变化”，以及“有限观测层对应关系在留出窗口表现怎样”；不能回答“上海现场必然获得某一改善比例”。局部有向图、物理检查、独立时段检验和双边成本报告共同减少不当外推，但并不代替后续现场实验。</w:t>
      </w:r>
    </w:p>
    <w:p>
      <w:r>
        <w:rPr>
          <w:rFonts w:ascii="Times New Roman" w:hAnsi="Times New Roman" w:eastAsia="宋体"/>
          <w:b w:val="0"/>
          <w:color w:val="000000"/>
          <w:sz w:val="24"/>
        </w:rPr>
        <w:t>全部入口采用Python命令，数据、模型、控制和输出保存独立摘要。离线复现不需要密钥；联网再采集时由使用者提供自己的授权配置，私密配置不在支撑包中。图表直接由汇总JSON/CSV生成，论文数值由生成脚本读取最终结果，减少手工抄录误差。AI辅助生成的程序、分析和文字均需队员独立理解并复核，相关说明随支撑材料单独提供。</w:t>
      </w:r>
    </w:p>
    <w:p>
      <w:pPr>
        <w:pStyle w:val="Heading1"/>
        <w:spacing w:before="200" w:after="120"/>
        <w:ind w:firstLine="0"/>
        <w:jc w:val="center"/>
      </w:pPr>
      <w:r>
        <w:rPr>
          <w:rFonts w:ascii="Times New Roman" w:hAnsi="Times New Roman" w:eastAsia="黑体"/>
          <w:b/>
          <w:color w:val="000000"/>
          <w:sz w:val="28"/>
        </w:rPr>
        <w:t>9 结论</w:t>
      </w:r>
    </w:p>
    <w:p>
      <w:r>
        <w:rPr>
          <w:rFonts w:ascii="Times New Roman" w:hAnsi="Times New Roman" w:eastAsia="宋体"/>
          <w:b w:val="0"/>
          <w:color w:val="000000"/>
          <w:sz w:val="24"/>
        </w:rPr>
        <w:t>本文完成了官方GIS证据、方向拓扑、观测层检验和微观治理对照的统一原型。160条有效平台路线快照支持可追溯时间分区，307个有向外部分段、310个允许转向和8条候选支持六OD需求下的合法动作审计，22组独立运行均通过所声明物理检查。</w:t>
      </w:r>
    </w:p>
    <w:p>
      <w:r>
        <w:rPr>
          <w:rFonts w:ascii="Times New Roman" w:hAnsi="Times New Roman" w:eastAsia="宋体"/>
          <w:b w:val="0"/>
          <w:color w:val="000000"/>
          <w:sz w:val="24"/>
        </w:rPr>
        <w:t>结果具有明确条件性：单时段共享ETA映射跨日误差大于中位数参照；A在更强慢行下有收益而其余设置保持原路；B仅在高需求组合使任务缩短60秒、普通总成本减少3340车秒，其他组的无益或不利结果保留。源端等待有界不等于个体总损失有界，也不意味着所有普通车受益。</w:t>
      </w:r>
    </w:p>
    <w:p>
      <w:r>
        <w:rPr>
          <w:rFonts w:ascii="Times New Roman" w:hAnsi="Times New Roman" w:eastAsia="宋体"/>
          <w:b w:val="0"/>
          <w:color w:val="000000"/>
          <w:sz w:val="24"/>
        </w:rPr>
        <w:t>研究贡献是可执行、可对账且不隐藏负结果的方法链。下一步应取得独立逐车时间、实测流量、信号及入口证据，扩充时间窗口并校准物理模型，再讨论现场部署。当前数值只适用于公开假设与已观测子图，不作为现实上海道路治理效果承诺。</w:t>
      </w:r>
    </w:p>
    <w:p>
      <w:pPr>
        <w:pStyle w:val="Heading1"/>
        <w:spacing w:before="200" w:after="120"/>
        <w:ind w:firstLine="0"/>
        <w:jc w:val="center"/>
      </w:pPr>
      <w:r>
        <w:rPr>
          <w:rFonts w:ascii="Times New Roman" w:hAnsi="Times New Roman" w:eastAsia="黑体"/>
          <w:b/>
          <w:color w:val="000000"/>
          <w:sz w:val="28"/>
        </w:rPr>
        <w:t>参考文献</w:t>
      </w:r>
    </w:p>
    <w:p>
      <w:r>
        <w:rPr>
          <w:rFonts w:ascii="Times New Roman" w:hAnsi="Times New Roman" w:eastAsia="宋体"/>
          <w:b w:val="0"/>
          <w:color w:val="000000"/>
          <w:sz w:val="24"/>
        </w:rPr>
        <w:t>[1] 全国大学生仿真建模应用挑战赛组委会，2026年第二届全国大学生仿真建模应用挑战赛B题：嵌入GIS数据的智慧交通数字孪生建模与治理仿真，赛题文件，第1—5页，2026。</w:t>
      </w:r>
    </w:p>
    <w:p>
      <w:r>
        <w:rPr>
          <w:rFonts w:ascii="Times New Roman" w:hAnsi="Times New Roman" w:eastAsia="宋体"/>
          <w:b w:val="0"/>
          <w:color w:val="000000"/>
          <w:sz w:val="24"/>
        </w:rPr>
        <w:t>[2] 百度地图开放平台，驾车路线规划（轻量级路线规划），https://lbsyun.baidu.com/docs/webapi?title=directionlite/guide/webservice-lwrouteplanapi/dirve，访问日期：2026-10-18。</w:t>
      </w:r>
    </w:p>
    <w:p>
      <w:r>
        <w:rPr>
          <w:rFonts w:ascii="Times New Roman" w:hAnsi="Times New Roman" w:eastAsia="宋体"/>
          <w:b w:val="0"/>
          <w:color w:val="000000"/>
          <w:sz w:val="24"/>
        </w:rPr>
        <w:t>[3] 百度地图开放平台，实时路况查询：服务概览，https://lbsyun.baidu.com/docs/webapi?title=traffic/traffic，访问日期：2026-10-18。</w:t>
      </w:r>
    </w:p>
    <w:p>
      <w:r>
        <w:rPr>
          <w:rFonts w:ascii="Times New Roman" w:hAnsi="Times New Roman" w:eastAsia="宋体"/>
          <w:b w:val="0"/>
          <w:color w:val="000000"/>
          <w:sz w:val="24"/>
        </w:rPr>
        <w:t>[4] Alvarez Lopez P, Behrisch M, Bieker-Walz L, et al. Microscopic Traffic Simulation using SUMO. 2018 IEEE International Conference on Intelligent Transportation Systems, 2575—2582, 2018. DOI:10.1109/ITSC.2018.8569938。</w:t>
      </w:r>
    </w:p>
    <w:p>
      <w:r>
        <w:rPr>
          <w:rFonts w:ascii="Times New Roman" w:hAnsi="Times New Roman" w:eastAsia="宋体"/>
          <w:b w:val="0"/>
          <w:color w:val="000000"/>
          <w:sz w:val="24"/>
        </w:rPr>
        <w:t>[5] Eclipse SUMO，Definition of Vehicles, Vehicle Types, and Routes；VehicleSpeed，https://eclipse.dev/sumo/docs/Definition_of_Vehicles%2C_Vehicle_Types%2C_and_Routes.html；https://eclipse.dev/sumo/docs/Simulation/VehicleSpeed.html，访问日期：2026-10-18。</w:t>
      </w:r>
    </w:p>
    <w:p>
      <w:r>
        <w:rPr>
          <w:rFonts w:ascii="Times New Roman" w:hAnsi="Times New Roman" w:eastAsia="宋体"/>
          <w:b w:val="0"/>
          <w:color w:val="000000"/>
          <w:sz w:val="24"/>
        </w:rPr>
        <w:t>[6] Eclipse SUMO，FCDOutput，https://eclipse.dev/sumo/docs/Simulation/Output/FCDOutput.html，访问日期：2026-10-18。</w:t>
      </w:r>
    </w:p>
    <w:p>
      <w:r>
        <w:rPr>
          <w:rFonts w:ascii="Times New Roman" w:hAnsi="Times New Roman" w:eastAsia="宋体"/>
          <w:b w:val="0"/>
          <w:color w:val="000000"/>
          <w:sz w:val="24"/>
        </w:rPr>
        <w:t>[7] Eclipse SUMO，Variable Speed Signs，https://eclipse.dev/sumo/docs/Simulation/Variable_Speed_Signs.html，访问日期：2026-10-18。</w:t>
      </w:r>
    </w:p>
    <w:p>
      <w:r>
        <w:rPr>
          <w:rFonts w:ascii="Times New Roman" w:hAnsi="Times New Roman" w:eastAsia="宋体"/>
          <w:b w:val="0"/>
          <w:color w:val="000000"/>
          <w:sz w:val="24"/>
        </w:rPr>
        <w:t>[8] Eclipse SUMO，TraCI: Change Vehicle State，https://eclipse.dev/sumo/docs/TraCI/Change_Vehicle_State.html，访问日期：2026-10-18。</w:t>
      </w:r>
    </w:p>
    <w:p>
      <w:r>
        <w:rPr>
          <w:rFonts w:ascii="Times New Roman" w:hAnsi="Times New Roman" w:eastAsia="宋体"/>
          <w:b w:val="0"/>
          <w:color w:val="000000"/>
          <w:sz w:val="24"/>
        </w:rPr>
        <w:t>[9] Eclipse SUMO，TripInfo，https://eclipse.dev/sumo/docs/Simulation/Output/TripInfo.html，访问日期：2026-10-18。</w:t>
      </w:r>
    </w:p>
    <w:p>
      <w:r>
        <w:rPr>
          <w:rFonts w:ascii="Times New Roman" w:hAnsi="Times New Roman" w:eastAsia="宋体"/>
          <w:b w:val="0"/>
          <w:color w:val="000000"/>
          <w:sz w:val="24"/>
        </w:rPr>
        <w:t>[10] OpenAI Codex，具体版本/模型快照及发布日期未提供，OpenAI，使用日期：2026-10-17至2026-10-18。</w:t>
      </w:r>
    </w:p>
    <w:p>
      <w:pPr>
        <w:pStyle w:val="Heading1"/>
        <w:spacing w:before="200" w:after="120"/>
        <w:ind w:firstLine="0"/>
        <w:jc w:val="center"/>
      </w:pPr>
      <w:r>
        <w:rPr>
          <w:rFonts w:ascii="Times New Roman" w:hAnsi="Times New Roman" w:eastAsia="黑体"/>
          <w:b/>
          <w:color w:val="000000"/>
          <w:sz w:val="28"/>
        </w:rPr>
        <w:t>AI工具使用声明</w:t>
      </w:r>
    </w:p>
    <w:p>
      <w:r>
        <w:rPr>
          <w:rFonts w:ascii="Times New Roman" w:hAnsi="Times New Roman" w:eastAsia="宋体"/>
          <w:b w:val="0"/>
          <w:color w:val="000000"/>
          <w:sz w:val="24"/>
        </w:rPr>
        <w:t>本项目使用OpenAI Codex进行赛题与规范整理、数据接口和处理程序辅助开发、拓扑审计、仿真与控制程序辅助实现、实验运行与诊断、可视化及文稿生成。具体模型快照、版本号及发布日期未在当前工作记录中提供可核验信息，未作推测填写；工具信息见参考文献[10]。</w:t>
      </w:r>
    </w:p>
    <w:p>
      <w:r>
        <w:rPr>
          <w:rFonts w:ascii="Times New Roman" w:hAnsi="Times New Roman" w:eastAsia="宋体"/>
          <w:b w:val="0"/>
          <w:color w:val="000000"/>
          <w:sz w:val="24"/>
        </w:rPr>
        <w:t>AI参与范围包括核心技术程序和分析草稿，而非仅文字润色。程序实际执行记录、来源摘要和代理交叉审阅已经保留，但这些不等于参赛队员已独立完成核心建模、仿真实现与分析，也不等于已经完成人工复核。队员应依据比赛规定完成独立理解、必要实质修订和正确性确认；本稿不代替该项责任或承诺。具体采纳内容、交互摘要、已执行核验及尚待人工处理事项见独立《AI工具使用详情说明》PDF。</w:t>
      </w:r>
    </w:p>
    <w:p>
      <w:pPr>
        <w:pStyle w:val="Heading1"/>
        <w:spacing w:before="200" w:after="120"/>
        <w:ind w:firstLine="0"/>
        <w:jc w:val="center"/>
      </w:pPr>
      <w:r>
        <w:rPr>
          <w:rFonts w:ascii="Times New Roman" w:hAnsi="Times New Roman" w:eastAsia="黑体"/>
          <w:b/>
          <w:color w:val="000000"/>
          <w:sz w:val="28"/>
        </w:rPr>
        <w:t>附录A 复现入口与支撑文件清单</w:t>
      </w:r>
    </w:p>
    <w:p>
      <w:r>
        <w:rPr>
          <w:rFonts w:ascii="Times New Roman" w:hAnsi="Times New Roman" w:eastAsia="宋体"/>
          <w:b w:val="0"/>
          <w:color w:val="000000"/>
          <w:sz w:val="24"/>
        </w:rPr>
        <w:t>在项目根目录运行README给定的Python入口。使用冻结数据可依次进行数据清理、路线目录构建、验证、最终实验及论文生成。脚本会新建或更新各自输出目录；原始响应及历史实验保留。不要将已变化的输入套用到旧结果摘要，也不要把旧版未实现B的工程展示作为最终B结果。</w:t>
      </w:r>
    </w:p>
    <w:tbl>
      <w:tblPr>
        <w:tblStyle w:val="TableGrid"/>
        <w:tblW w:type="auto" w:w="0"/>
        <w:jc w:val="center"/>
        <w:tblLook w:firstColumn="1" w:firstRow="1" w:lastColumn="0" w:lastRow="0" w:noHBand="0" w:noVBand="1" w:val="04A0"/>
      </w:tblPr>
      <w:tblGrid>
        <w:gridCol w:w="4592"/>
        <w:gridCol w:w="4592"/>
      </w:tblGrid>
      <w:tr>
        <w:trPr>
          <w:cantSplit/>
          <w:tblHeader/>
        </w:trPr>
        <w:tc>
          <w:tcPr>
            <w:tcW w:type="dxa" w:w="4592"/>
            <w:vAlign w:val="center"/>
          </w:tcPr>
          <w:p>
            <w:pPr>
              <w:spacing w:line="240" w:lineRule="auto" w:before="0" w:after="0"/>
              <w:ind w:firstLine="0"/>
            </w:pPr>
            <w:r>
              <w:rPr>
                <w:rFonts w:ascii="Times New Roman" w:hAnsi="Times New Roman" w:eastAsia="宋体"/>
                <w:b/>
                <w:color w:val="000000"/>
                <w:sz w:val="24"/>
              </w:rPr>
              <w:t>支撑目录/文件</w:t>
            </w:r>
          </w:p>
        </w:tc>
        <w:tc>
          <w:tcPr>
            <w:tcW w:type="dxa" w:w="4592"/>
            <w:vAlign w:val="center"/>
          </w:tcPr>
          <w:p>
            <w:pPr>
              <w:spacing w:line="240" w:lineRule="auto" w:before="0" w:after="0"/>
              <w:ind w:firstLine="0"/>
            </w:pPr>
            <w:r>
              <w:rPr>
                <w:rFonts w:ascii="Times New Roman" w:hAnsi="Times New Roman" w:eastAsia="宋体"/>
                <w:b/>
                <w:color w:val="000000"/>
                <w:sz w:val="24"/>
              </w:rPr>
              <w:t>内容与作用</w:t>
            </w:r>
          </w:p>
        </w:tc>
      </w:tr>
      <w:tr>
        <w:trPr>
          <w:cantSplit/>
        </w:trPr>
        <w:tc>
          <w:tcPr>
            <w:tcW w:type="dxa" w:w="4592"/>
            <w:vAlign w:val="center"/>
          </w:tcPr>
          <w:p>
            <w:pPr>
              <w:spacing w:line="240" w:lineRule="auto" w:before="0" w:after="0"/>
              <w:ind w:firstLine="0"/>
            </w:pPr>
            <w:r>
              <w:rPr>
                <w:rFonts w:ascii="Times New Roman" w:hAnsi="Times New Roman" w:eastAsia="宋体"/>
                <w:b w:val="0"/>
                <w:color w:val="000000"/>
                <w:sz w:val="24"/>
              </w:rPr>
              <w:t>project.py、scripts/、src/</w:t>
            </w:r>
          </w:p>
        </w:tc>
        <w:tc>
          <w:tcPr>
            <w:tcW w:type="dxa" w:w="4592"/>
            <w:vAlign w:val="center"/>
          </w:tcPr>
          <w:p>
            <w:pPr>
              <w:spacing w:line="240" w:lineRule="auto" w:before="0" w:after="0"/>
              <w:ind w:firstLine="0"/>
            </w:pPr>
            <w:r>
              <w:rPr>
                <w:rFonts w:ascii="Times New Roman" w:hAnsi="Times New Roman" w:eastAsia="宋体"/>
                <w:b w:val="0"/>
                <w:color w:val="000000"/>
                <w:sz w:val="24"/>
              </w:rPr>
              <w:t>采集、标准化、路线审计、仿真、验证、绘图及论文生成程序</w:t>
            </w:r>
          </w:p>
        </w:tc>
      </w:tr>
      <w:tr>
        <w:trPr>
          <w:cantSplit/>
        </w:trPr>
        <w:tc>
          <w:tcPr>
            <w:tcW w:type="dxa" w:w="4592"/>
            <w:vAlign w:val="center"/>
          </w:tcPr>
          <w:p>
            <w:pPr>
              <w:spacing w:line="240" w:lineRule="auto" w:before="0" w:after="0"/>
              <w:ind w:firstLine="0"/>
            </w:pPr>
            <w:r>
              <w:rPr>
                <w:rFonts w:ascii="Times New Roman" w:hAnsi="Times New Roman" w:eastAsia="宋体"/>
                <w:b w:val="0"/>
                <w:color w:val="000000"/>
                <w:sz w:val="24"/>
              </w:rPr>
              <w:t>config/（仅公开配置）</w:t>
            </w:r>
          </w:p>
        </w:tc>
        <w:tc>
          <w:tcPr>
            <w:tcW w:type="dxa" w:w="4592"/>
            <w:vAlign w:val="center"/>
          </w:tcPr>
          <w:p>
            <w:pPr>
              <w:spacing w:line="240" w:lineRule="auto" w:before="0" w:after="0"/>
              <w:ind w:firstLine="0"/>
            </w:pPr>
            <w:r>
              <w:rPr>
                <w:rFonts w:ascii="Times New Roman" w:hAnsi="Times New Roman" w:eastAsia="宋体"/>
                <w:b w:val="0"/>
                <w:color w:val="000000"/>
                <w:sz w:val="24"/>
              </w:rPr>
              <w:t>研究区、仿真、治理与分析参数；不含*.local.json</w:t>
            </w:r>
          </w:p>
        </w:tc>
      </w:tr>
      <w:tr>
        <w:trPr>
          <w:cantSplit/>
        </w:trPr>
        <w:tc>
          <w:tcPr>
            <w:tcW w:type="dxa" w:w="4592"/>
            <w:vAlign w:val="center"/>
          </w:tcPr>
          <w:p>
            <w:pPr>
              <w:spacing w:line="240" w:lineRule="auto" w:before="0" w:after="0"/>
              <w:ind w:firstLine="0"/>
            </w:pPr>
            <w:r>
              <w:rPr>
                <w:rFonts w:ascii="Times New Roman" w:hAnsi="Times New Roman" w:eastAsia="宋体"/>
                <w:b w:val="0"/>
                <w:color w:val="000000"/>
                <w:sz w:val="24"/>
              </w:rPr>
              <w:t>data/raw/（必要脱敏响应）</w:t>
            </w:r>
          </w:p>
        </w:tc>
        <w:tc>
          <w:tcPr>
            <w:tcW w:type="dxa" w:w="4592"/>
            <w:vAlign w:val="center"/>
          </w:tcPr>
          <w:p>
            <w:pPr>
              <w:spacing w:line="240" w:lineRule="auto" w:before="0" w:after="0"/>
              <w:ind w:firstLine="0"/>
            </w:pPr>
            <w:r>
              <w:rPr>
                <w:rFonts w:ascii="Times New Roman" w:hAnsi="Times New Roman" w:eastAsia="宋体"/>
                <w:b w:val="0"/>
                <w:color w:val="000000"/>
                <w:sz w:val="24"/>
              </w:rPr>
              <w:t>官方接口路线及路况快照与采集清单</w:t>
            </w:r>
          </w:p>
        </w:tc>
      </w:tr>
      <w:tr>
        <w:trPr>
          <w:cantSplit/>
        </w:trPr>
        <w:tc>
          <w:tcPr>
            <w:tcW w:type="dxa" w:w="4592"/>
            <w:vAlign w:val="center"/>
          </w:tcPr>
          <w:p>
            <w:pPr>
              <w:spacing w:line="240" w:lineRule="auto" w:before="0" w:after="0"/>
              <w:ind w:firstLine="0"/>
            </w:pPr>
            <w:r>
              <w:rPr>
                <w:rFonts w:ascii="Times New Roman" w:hAnsi="Times New Roman" w:eastAsia="宋体"/>
                <w:b w:val="0"/>
                <w:color w:val="000000"/>
                <w:sz w:val="24"/>
              </w:rPr>
              <w:t>data/processed/baidu/route_catalog_v1.json</w:t>
            </w:r>
          </w:p>
        </w:tc>
        <w:tc>
          <w:tcPr>
            <w:tcW w:type="dxa" w:w="4592"/>
            <w:vAlign w:val="center"/>
          </w:tcPr>
          <w:p>
            <w:pPr>
              <w:spacing w:line="240" w:lineRule="auto" w:before="0" w:after="0"/>
              <w:ind w:firstLine="0"/>
            </w:pPr>
            <w:r>
              <w:rPr>
                <w:rFonts w:ascii="Times New Roman" w:hAnsi="Times New Roman" w:eastAsia="宋体"/>
                <w:b w:val="0"/>
                <w:color w:val="000000"/>
                <w:sz w:val="24"/>
              </w:rPr>
              <w:t>有来源方向图、固定需求OD和完整候选</w:t>
            </w:r>
          </w:p>
        </w:tc>
      </w:tr>
      <w:tr>
        <w:trPr>
          <w:cantSplit/>
        </w:trPr>
        <w:tc>
          <w:tcPr>
            <w:tcW w:type="dxa" w:w="4592"/>
            <w:vAlign w:val="center"/>
          </w:tcPr>
          <w:p>
            <w:pPr>
              <w:spacing w:line="240" w:lineRule="auto" w:before="0" w:after="0"/>
              <w:ind w:firstLine="0"/>
            </w:pPr>
            <w:r>
              <w:rPr>
                <w:rFonts w:ascii="Times New Roman" w:hAnsi="Times New Roman" w:eastAsia="宋体"/>
                <w:b w:val="0"/>
                <w:color w:val="000000"/>
                <w:sz w:val="24"/>
              </w:rPr>
              <w:t>data/processed/final/</w:t>
            </w:r>
          </w:p>
        </w:tc>
        <w:tc>
          <w:tcPr>
            <w:tcW w:type="dxa" w:w="4592"/>
            <w:vAlign w:val="center"/>
          </w:tcPr>
          <w:p>
            <w:pPr>
              <w:spacing w:line="240" w:lineRule="auto" w:before="0" w:after="0"/>
              <w:ind w:firstLine="0"/>
            </w:pPr>
            <w:r>
              <w:rPr>
                <w:rFonts w:ascii="Times New Roman" w:hAnsi="Times New Roman" w:eastAsia="宋体"/>
                <w:b w:val="0"/>
                <w:color w:val="000000"/>
                <w:sz w:val="24"/>
              </w:rPr>
              <w:t>冻结样本、排除原因及来源摘要</w:t>
            </w:r>
          </w:p>
        </w:tc>
      </w:tr>
      <w:tr>
        <w:trPr>
          <w:cantSplit/>
        </w:trPr>
        <w:tc>
          <w:tcPr>
            <w:tcW w:type="dxa" w:w="4592"/>
            <w:vAlign w:val="center"/>
          </w:tcPr>
          <w:p>
            <w:pPr>
              <w:spacing w:line="240" w:lineRule="auto" w:before="0" w:after="0"/>
              <w:ind w:firstLine="0"/>
            </w:pPr>
            <w:r>
              <w:rPr>
                <w:rFonts w:ascii="Times New Roman" w:hAnsi="Times New Roman" w:eastAsia="宋体"/>
                <w:b w:val="0"/>
                <w:color w:val="000000"/>
                <w:sz w:val="24"/>
              </w:rPr>
              <w:t>outputs/validation/</w:t>
            </w:r>
          </w:p>
        </w:tc>
        <w:tc>
          <w:tcPr>
            <w:tcW w:type="dxa" w:w="4592"/>
            <w:vAlign w:val="center"/>
          </w:tcPr>
          <w:p>
            <w:pPr>
              <w:spacing w:line="240" w:lineRule="auto" w:before="0" w:after="0"/>
              <w:ind w:firstLine="0"/>
            </w:pPr>
            <w:r>
              <w:rPr>
                <w:rFonts w:ascii="Times New Roman" w:hAnsi="Times New Roman" w:eastAsia="宋体"/>
                <w:b w:val="0"/>
                <w:color w:val="000000"/>
                <w:sz w:val="24"/>
              </w:rPr>
              <w:t>冻结模型、预测、误差、图表与验证摘要</w:t>
            </w:r>
          </w:p>
        </w:tc>
      </w:tr>
      <w:tr>
        <w:trPr>
          <w:cantSplit/>
        </w:trPr>
        <w:tc>
          <w:tcPr>
            <w:tcW w:type="dxa" w:w="4592"/>
            <w:vAlign w:val="center"/>
          </w:tcPr>
          <w:p>
            <w:pPr>
              <w:spacing w:line="240" w:lineRule="auto" w:before="0" w:after="0"/>
              <w:ind w:firstLine="0"/>
            </w:pPr>
            <w:r>
              <w:rPr>
                <w:rFonts w:ascii="Times New Roman" w:hAnsi="Times New Roman" w:eastAsia="宋体"/>
                <w:b w:val="0"/>
                <w:color w:val="000000"/>
                <w:sz w:val="24"/>
              </w:rPr>
              <w:t>outputs/final_experiments/</w:t>
            </w:r>
          </w:p>
        </w:tc>
        <w:tc>
          <w:tcPr>
            <w:tcW w:type="dxa" w:w="4592"/>
            <w:vAlign w:val="center"/>
          </w:tcPr>
          <w:p>
            <w:pPr>
              <w:spacing w:line="240" w:lineRule="auto" w:before="0" w:after="0"/>
              <w:ind w:firstLine="0"/>
            </w:pPr>
            <w:r>
              <w:rPr>
                <w:rFonts w:ascii="Times New Roman" w:hAnsi="Times New Roman" w:eastAsia="宋体"/>
                <w:b w:val="0"/>
                <w:color w:val="000000"/>
                <w:sz w:val="24"/>
              </w:rPr>
              <w:t>全部最终对照摘要、CSV及必要运行证据</w:t>
            </w:r>
          </w:p>
        </w:tc>
      </w:tr>
      <w:tr>
        <w:trPr>
          <w:cantSplit/>
        </w:trPr>
        <w:tc>
          <w:tcPr>
            <w:tcW w:type="dxa" w:w="4592"/>
            <w:vAlign w:val="center"/>
          </w:tcPr>
          <w:p>
            <w:pPr>
              <w:spacing w:line="240" w:lineRule="auto" w:before="0" w:after="0"/>
              <w:ind w:firstLine="0"/>
            </w:pPr>
            <w:r>
              <w:rPr>
                <w:rFonts w:ascii="Times New Roman" w:hAnsi="Times New Roman" w:eastAsia="宋体"/>
                <w:b w:val="0"/>
                <w:color w:val="000000"/>
                <w:sz w:val="24"/>
              </w:rPr>
              <w:t>manuscript/及AI说明PDF</w:t>
            </w:r>
          </w:p>
        </w:tc>
        <w:tc>
          <w:tcPr>
            <w:tcW w:type="dxa" w:w="4592"/>
            <w:vAlign w:val="center"/>
          </w:tcPr>
          <w:p>
            <w:pPr>
              <w:spacing w:line="240" w:lineRule="auto" w:before="0" w:after="0"/>
              <w:ind w:firstLine="0"/>
            </w:pPr>
            <w:r>
              <w:rPr>
                <w:rFonts w:ascii="Times New Roman" w:hAnsi="Times New Roman" w:eastAsia="宋体"/>
                <w:b w:val="0"/>
                <w:color w:val="000000"/>
                <w:sz w:val="24"/>
              </w:rPr>
              <w:t>可编辑稿源、引用、AI使用详情及提交核对说明</w:t>
            </w:r>
          </w:p>
        </w:tc>
      </w:tr>
      <w:tr>
        <w:trPr>
          <w:cantSplit/>
        </w:trPr>
        <w:tc>
          <w:tcPr>
            <w:tcW w:type="dxa" w:w="4592"/>
            <w:vAlign w:val="center"/>
          </w:tcPr>
          <w:p>
            <w:pPr>
              <w:spacing w:line="240" w:lineRule="auto" w:before="0" w:after="0"/>
              <w:ind w:firstLine="0"/>
            </w:pPr>
            <w:r>
              <w:rPr>
                <w:rFonts w:ascii="Times New Roman" w:hAnsi="Times New Roman" w:eastAsia="宋体"/>
                <w:b w:val="0"/>
                <w:color w:val="000000"/>
                <w:sz w:val="24"/>
              </w:rPr>
              <w:t>README.md/复现说明</w:t>
            </w:r>
          </w:p>
        </w:tc>
        <w:tc>
          <w:tcPr>
            <w:tcW w:type="dxa" w:w="4592"/>
            <w:vAlign w:val="center"/>
          </w:tcPr>
          <w:p>
            <w:pPr>
              <w:spacing w:line="240" w:lineRule="auto" w:before="0" w:after="0"/>
              <w:ind w:firstLine="0"/>
            </w:pPr>
            <w:r>
              <w:rPr>
                <w:rFonts w:ascii="Times New Roman" w:hAnsi="Times New Roman" w:eastAsia="宋体"/>
                <w:b w:val="0"/>
                <w:color w:val="000000"/>
                <w:sz w:val="24"/>
              </w:rPr>
              <w:t>环境依赖、运行顺序及成果索引</w:t>
            </w:r>
          </w:p>
        </w:tc>
      </w:tr>
    </w:tbl>
    <w:p>
      <w:pPr>
        <w:spacing w:after="0"/>
      </w:pPr>
    </w:p>
    <w:p>
      <w:r>
        <w:rPr>
          <w:rFonts w:ascii="Times New Roman" w:hAnsi="Times New Roman" w:eastAsia="宋体"/>
          <w:b w:val="0"/>
          <w:color w:val="000000"/>
          <w:sz w:val="24"/>
        </w:rPr>
        <w:t>关键运行文件包括project.py，scripts/finalize_data.py、validate_twin.py、build_route_catalog.py、audit_network.py、run_baseline.py、run_final_experiments.py、audit_fairness.py及build_paper.py；config/study_area.json、baseline.json、final_experiments.json记录公开设置。观测核心文件为data/processed/final/samples.csv、data_manifest.json；结果核心文件为outputs/validation/summary.json、outputs/final_experiments/summary.json及summary.csv、outputs/quality/fairness_audit.json及fairness_audit.csv，交互展示见outputs/app/。</w:t>
      </w:r>
    </w:p>
    <w:p>
      <w:r>
        <w:rPr>
          <w:rFonts w:ascii="Times New Roman" w:hAnsi="Times New Roman" w:eastAsia="宋体"/>
          <w:b w:val="0"/>
          <w:color w:val="000000"/>
          <w:sz w:val="24"/>
        </w:rPr>
        <w:t>支撑压缩包工作名为B_support.zip。以上为按用途组织的关键文件列表，完整逐文件清单置于包内SUPPORT_MANIFEST.json，逐项提供相对路径、字节数和SHA-256；外部副本为submission/support_manifest.json。大型XML运行输出因容量限制不全部随包提供，可由Python入口重生；必要冻结摘要、图表、脱敏原始响应及模型输入随包保存，避免仅凭论文数字无法核查。包内清单与实际文件由打包程序对账。</w:t>
      </w:r>
    </w:p>
    <w:p>
      <w:r>
        <w:rPr>
          <w:rFonts w:ascii="Times New Roman" w:hAnsi="Times New Roman" w:eastAsia="宋体"/>
          <w:b w:val="0"/>
          <w:color w:val="000000"/>
          <w:sz w:val="24"/>
        </w:rPr>
        <w:t>承诺书按主办方原模板由队员另行填写签署，不放入论文或支撑包。队伍编号尚未提供，当前paper.pdf等为稳定工作文件名，提交前按实际队号统一命名；正文不填写真实姓名、学校或其他身份信息。</w:t>
      </w:r>
    </w:p>
    <w:sectPr w:rsidR="00FC693F" w:rsidRPr="0006063C" w:rsidSect="00034616">
      <w:footerReference w:type="default" r:id="rId9"/>
      <w:pgSz w:w="11906" w:h="16838"/>
      <w:pgMar w:top="1304" w:right="1361" w:bottom="1191" w:left="1361"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line="240"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基于官方路线数据的街区交通数字孪生与有界源端协同治理</dc:title>
  <dc:subject>匿名研究稿</dc:subject>
  <dc:creator/>
  <cp:keywords>交通数字孪生;GIS;路径治理;应急协同</cp:keywords>
  <dc:description>generated by python-docx</dc:description>
  <cp:lastModifiedBy/>
  <cp:revision>1</cp:revision>
  <dcterms:created xsi:type="dcterms:W3CDTF">2013-12-23T23:15:00Z</dcterms:created>
  <dcterms:modified xsi:type="dcterms:W3CDTF">2013-12-23T23:15:00Z</dcterms:modified>
  <cp:category/>
</cp:coreProperties>
</file>