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AI工具使用详情说明（V2）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本说明记录2026年10月17日至18日的实际AI辅助范围，包含10月18日模型修订及论文同步。正文与本说明不含队员姓名、学校、账户、密钥或签名。以下是脱敏摘要，不是完整逐字对话。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 工具信息与使用范围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工具名称：OpenAI Codex；开发机构：OpenAI；当前具体模型快照、精确版本号及版本发布日期未取得可核验记录，标为未知，不编造。队员应在正式提交前核实实际使用界面和适用赛方要求。使用日期为2026年10月17日至18日。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I实际参与了资料检索、数据处理、几何修正、核心建模与程序实现、仿真实验编排、结果解释、图表、论文写作和自动检查。它的作用超过语句润色。多代理交叉审阅仍属于AI辅助，不等同于独立人工同行评审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 各环节的实际贡献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环节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AI参与及保留证据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数据与来源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百度接口程序和脱敏；164条路线去重为160条；步骤提取；48项参数及222字段审计；26项一手资料目录；本地环评计数核验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GIS及微观模型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有向路线目录、两处同向重叠采样修正、SUMO输入与物理检查；V2为305外部边和308允许转向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条件反演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四档需求、三组有效运行约束的协议、坐标搜索实现；实际221个候选；训练/同日/跨日评价与不可识别性解释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治理A/B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有来源事件倍率和完整路段；当前代价选路；任务后有界源端协调；44组运行、32配对及逐车公平性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论文与展示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V2论文结构、文字、公式表述、实际数据图表、DOCX/PDF生成、只读页面及支撑文件清单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核查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自动化测试、来源哈希、实际仿真对账、独立缓存重算、页面检查和论文数值审阅；均未代替队员独立核心工作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原始百度数据由实际接口取得，历史计数来自政府公开环评，仿真数值来自真实SUMO运行。没有以AI编造值填补未采集的流量、车道、信号或排队。所有未识别量、实验设计值和外部先验在论文及参数登记中区分。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 关键交互与修订摘要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用户要求或约束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AI响应与实际采纳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上海道路、百度数据、工作区内操作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选择瑞金医院外围部分走廊；原始响应与来源保留；环境和全部写入限于工作区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两段采集及停止要求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保存17日与18日会话；采集按设定截止停止，V2未重启采集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解释时间差与仿射公式依据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说明旧公式属于经验输出换算；V2改为内部有效参数反演，直接比较SUMO时间，不保留仿射作为主方法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全面定位无来源参数并查公开证据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逐项审计；核实2025年本地历史计数；以同几何训练步骤的分位数推导事件倍率；未将历史或异地数据冒充当前本地真值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用模型估计缺失交通状态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对四档条件需求运行实际仿真；保留多个可匹配解；流量、停车和等待标为条件输出，真实信号未被识别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论文是否对应修改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重写V2正文、摘要、公式、来源、图表和结论；保留A无改道、B无任务收益及跨日误差，不沿用V1收益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旧版提交副本保留在历史归档；新论文与支撑材料采用V2结果。视频仍是V1历史演示，未声称已重新录制或已完成正式上传。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 采纳、核验与人工状态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I辅助产生的代码、分析和草稿已被用于当前工程。可以确认用户决定了研究城市、地图源、采集时段、工作区限制及修订方向；尚无可核查记录表明参赛队员已独立完成全部核心建模、仿真实现、分析和实质修订。因此人工复核与独立核心工作状态写为“待队员完成”，不虚构签字或采纳记录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V2科学检查已执行148项测试，221个反演候选与44组治理运行保留真实产物；入选解在独立建网缓存中重算，数值一致。失败候选未删除，未通过训练一致性筛选的需求仅作诊断。论文的另外排版、引用和数值检查记录在outputs/quality/paper_v2相关文件。检查只能证明覆盖范围内的一致性，不能证明现实治理有效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5 适用边界和正式提交事项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百度ETA是平台预计时间，四条路线不能唯一恢复六OD流量、真实车道及各路口信号。有效速度约束吸收了部分未分解损失，不能解释为法定限速。事件持续时间、任务发布时间与45/180秒控制预算属于实验设计，源端协调权限是假设。跨日预测误差及治理负结果在正文保留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赛题包中的AI规定标为2025年试行，论文格式规范引用2026年试行，队员应向主办方核实适用版本。赛方要求核心建模、实现与分析由队员独立完成；本项目如实披露AI的深入参与，不能仅凭改名或签字宣称符合。具体模型版本、必要人工工作和实质修改记录应由队员据实补充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DOCX指定规定中文字体，当前机器PDF使用已有替代字体；正式提交前须在具有合法规定字体的环境中重新导出并核对分页。队号和承诺书由队员自行填写签署。本项目未代签、未购买、未上传或向他人发送材料。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AI工具使用详情说明</dc:title>
  <dc:subject>匿名研究稿</dc:subject>
  <dc:creator/>
  <cp:keywords>交通数字孪生;GIS;路径治理;应急协同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