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观测约束下的街区交通数字孪生标定与治理适用边界研究</w:t>
      </w:r>
    </w:p>
    <w:p>
      <w:pPr>
        <w:pStyle w:val="Heading1"/>
        <w:spacing w:before="20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摘 要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城市街区交通数字孪生需要同时回答空间结构是否可信、模型时间是否与观测一致、治理收益是否来自真实机制三个问题。本文选取上海瑞金医院总院外围道路，调用百度地图官方接口，建立数据、方向图、微观仿真与结果回放一体化研究系统。两段周末采集获得100次路况响应、164次路线响应，去重后160条预计到达时间；规范化两处同向重复采样道路后，构建含305条外部有向分段、308个允许转向的研究路网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针对实际流量、车道与信号缺失，本文采用需求剖面下的低维仿真反演：仅用48条训练样本，实际运行221个SUMO候选，估计三组有效运行约束，直接比较仿真行程时间，不作输出端仿射修正。60秒与30秒两档发车间隔均通过逐OD中位误差15%的工程筛选，表明现有ETA不能唯一确定真实需求。训练目标最小解的训练、同日与跨日MAE分别为69.58、124.75、206.29秒；跨日误差仍高于训练中位数基准200.46秒，泛化受限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拥堵情景依据同几何276米平台步骤的训练速度分位数，设置0.8240与0.7048两档运行约束倍率。完成44组固定路径、路径引导A及有界源端协调B对照，全部车辆到达且未检测到碰撞、传送或丢弃。A均未改道：事件中约209.93米为共同必经段，绕行仅避开68.74米却增加717.13米，观测支持强度不足以跨越换路阈值。通过训练筛选的四组B相对A，普通交通总成本增加631—1496车·秒，保障任务耗时持平或增加25—30秒。结果支持完整报告治理适用边界，未支持现有B带来收益。本文的贡献是将参数来源分级、内部时间标定、路径阈值推导及逐车成本核算连接为可复查证据链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关键词：交通数字孪生；仿真反演；参数来源；路径引导；源端协调</w:t>
      </w:r>
    </w:p>
    <w:p>
      <w:r>
        <w:br w:type="page"/>
      </w:r>
    </w:p>
    <w:p>
      <w:pPr>
        <w:pStyle w:val="Heading1"/>
        <w:spacing w:before="20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目 录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1 问题重述与研究思路  ……  3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2 官方数据与参数来源  ……  4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3 GIS平行空间与微观基准  ……  6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4 问题一：SUMO内部反演与时间验证  ……  7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5 缺失交通流与排队的条件估计  ……  10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6 问题二：有来源拥堵与路径治理A  ……  11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7 问题三：有界源端协调B及公平性  ……  12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8 时空对应、系统封装与复现  ……  14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9 结果讨论与适用边界  ……  16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10 结论  ……  17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参考文献  ……  17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AI工具使用声明  ……  18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附录A 支撑材料目录与结果索引  ……  18</w:t>
      </w:r>
    </w:p>
    <w:p>
      <w:r>
        <w:br w:type="page"/>
      </w:r>
    </w:p>
    <w:p>
      <w:pPr>
        <w:pStyle w:val="Heading1"/>
        <w:spacing w:before="20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1 问题重述与研究思路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1.1 三个问题与统一研究对象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交通数字孪生不仅需要把道路画出来，还需要让车辆在道路上的运行规律受到观测约束，并能追踪治理动作引起的后果。对于医院周边街区，绕行是否可行、末段是否仍然拥堵、保障车辆获得时间是否以其他车辆等待为代价，均应由同一空间模型和完整计时规则回答。依据B题[1]，本文以上海瑞金医院总院外围地面道路为局部研究区，依次建立一般交通基准、特殊拥堵治理A、应急保障协同B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问题一要求解释数字孪生结构、数据条件、GIS平行空间及基准模型泛化。本文将官方路线几何组织为有向图，使用平台预计到达时间（ETA）约束SUMO内部运行参数，并以不同时间块检验误差。问题二增加有数据依据的运行约束扰动，在相同需求下比较固定路径与当前信息选路。问题三再加入医院外围接驳任务，考察有限源端放行协调能否同时改善保障任务与普通交通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研究区的“全域”限定为已调查路线覆盖的局部街区及其道路、车辆、任务和控制对象，不能解释为获得上海全市完整路网。瑞金二路与永嘉路附近公共道路节点RJ_YJ作为医院外围接驳点；医院门址定位不能证明已核验院内急救入口。因此，本文评价的是外围道路保障任务的到达时间，不涉及临床救治过程。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1.2 数据、推断与治理的证据链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技术路线为：归档官方响应并审查质量，建立可回溯方向图，按需求候选估计低维有效运行约束，冻结参数并评价时间留出，最后实施同条件治理对照。各环节分别回答“观测到了什么”“模型推断了什么”“控制改变了什么”。平台ETA、由ETA反演的参数和SUMO产生的队列不能混为同一类实测信息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文不以治理必须产生正收益为模型成立条件。空间结构可能使绕行无效，源端协调可能增加系统成本；这些结果同样用于判断机制适用范围。方法、程序、图表与本文初稿均有AI辅助，具体贡献在相应章节标注，完整说明置于参考文献后；自动化复核不能替代参赛队员应独立开展的核心工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赛题任务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本文对应工作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主要证据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问题一：一般交通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官方GIS、孪生对象、内部时间反演、泛化检验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来源目录、路网映射、标定与留出结果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问题二：特殊拥堵治理A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同几何事件、完整候选、当前信息选路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情景依据、固定/A配对、换路阈值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问题三：保障协同B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发布后有界源端放行、全部等待计价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A/B配对、任务轨迹、逐车损益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封装与时空对应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Python入口、SUMO输出、空间映射与时间索引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冻结结果、运行日志、回放与摘要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2 官方数据与参数来源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2.1 百度数据及采集时效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正式空间数据来自百度地图开放平台轻量驾车路线规划[2]，交通状态来自矩形路况查询[3]。前者返回路径折线、道路分步、距离与预计耗时，后者返回道路状态及部分拥堵段数值。数据使用BD09LL坐标，距离单位为米、时间为秒；平台预计耗时不是现场独立计时的车辆轨迹，拥堵段平均速度也不是道路限速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采样框约为北纬31.212270—31.224624、东经121.466849—121.479001，对角线约1795米。通过7个路口定位和12次路线调查，保留6个仿真需求OD、8条完整候选路径。另对4个OD持续采集ETA；调查路线、策略候选和需求OD分别建表，防止增加备选路径时重复增加交通需求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路况名义每120秒查询一次，4个OD路线名义每300秒各查询一次。2026年10月17日采集至16:15，18日追加两小时窗口并于13:36:33停止。四个正式采集会话共取得100次路况和164次路线成功响应；以OD及全局五分钟时间桶为键，保留首次成功记录，4条重复单列后得到160条ETA。全部时刻使用北京时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cantSplit/>
          <w:tblHeader/>
        </w:trPr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时间分区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预设时间分区（北京时间）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有效路线数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用途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训练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10月17日14:55—15:55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48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估计参数、选择需求剖面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同日探索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10月17日15:55—16:15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16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不重拟合的同日评价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跨日留出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10月18日11:36—13:36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96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不重拟合的跨日评价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表中14:55为训练分桶边界，首条实际路线请求约14:57:11，并非从14:55起完整实测。两个日期均为周末，不能仅按钟点称为通勤高峰。请求和接收时间均保存；接口未提供独立的底层观测生成时刻，故本文能核查采集时效，不能断言每条状态恰在请求瞬间测得。不同日期样本分别处理，未将18日记录填入17日缺失时间桶。早期版本已经查看过留出结果，本文的修订评价属于回顾性时间留出，不能称为全新盲测。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2.2 观测可用性与统计相关性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164条路线共615个步骤，去重后为600个步骤。按坐标顺序逐段匹配，步骤可对应既有有向道路几何；步骤距离之和与平台路线总距离一致，步骤耗时之和比全程少0—4秒。训练期各步骤时间占全程比例的标准差约0.0004—0.0007，表明分步耗时高度依赖同一平台路线估计。将它们全部作为独立传感器加入损失函数，会重复计权而夸大信息量，因此标定只使用四个OD的路线中位数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部分末端步骤仅3米却对应约20秒，或5米对应约37.5秒。这类数值可能包含终端、转向和平台分摊成本，不能直接用距离除时间得到道路自由流速度。100次路况响应含364条数值拥堵段记录，其中瑞金相关记录的覆盖长度随时刻变化；长走廊平均速度不得直接移植到几十米事件段。未返回数值的道路保持缺测，既不填零，也不视为畅通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文将数据分成四类：平台直接返回量、公开历史参考量、条件反演量和实验设计量。原始响应、配置、结构化文件均保存SHA-256与来源路径，模型结果能够逐层回溯。数据整理和检查程序由AI辅助实现，百度原始响应来自实际接口，未由AI生成。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2.3 公开本地资料与使用边界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对缺来源参数逐项审计，登记48项参数及隐含假设、222个配置叶字段，并核查26项一手资料。黄浦区政府公示的《上海交通大学医学院附属瑞金医院消化道肿瘤临床诊疗中心项目（调整）》环评[4]提供本地历史车型计数。报告PDF第107页记载监测日期为2025年9月9—10日，第110页表53给出20分钟观测计数。下表按乘3换算小时量级，仅作历史参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cantSplit/>
          <w:tblHeader/>
        </w:trPr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道路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昼间20分钟计数/辆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折算/辆·小时⁻¹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夜间20分钟计数/辆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折算/辆·小时⁻¹</w:t>
            </w:r>
          </w:p>
        </w:tc>
      </w:tr>
      <w:tr>
        <w:trPr>
          <w:cantSplit/>
        </w:trPr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瑞金二路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207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621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121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363</w:t>
            </w:r>
          </w:p>
        </w:tc>
      </w:tr>
      <w:tr>
        <w:trPr>
          <w:cantSplit/>
        </w:trPr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建德路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137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411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90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270</w:t>
            </w:r>
          </w:p>
        </w:tc>
      </w:tr>
      <w:tr>
        <w:trPr>
          <w:cantSplit/>
        </w:trPr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思南路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354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1062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78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234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瑞金二路昼间207辆包括大型7辆、中型32辆、小型168辆，因此621辆/小时不是621标准小客车当量。报告没有提供与本研究完全一致的方向、六OD分解及2026年周末状态。噪声预测表采用30 km/h，也不能当作核实过的法定限速。本文将这些资料用于约束量级解释，未将历史总量强制等同于当前OD真值。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参数组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采用依据或处理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保留的限制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坐标、方向、路径与转向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百度实际路线及规范化映射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只覆盖已调查关系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路线时间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48条训练ETA及独立时间块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平台估计、样本相关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需求量级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四档需求剖面、当地历史计数参照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不唯一识别真实OD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车辆尺寸与跟驰量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SUMO版本默认值固定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未标定当地车型和驾驶差异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车道、信号与沿街干扰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一条有效通道、priority规则、综合运行约束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不解释为真实车道或配时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事件范围与强度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同几何步骤及训练速度分位数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反事实运行代理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事件时刻、任务和控制上限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公开的实验设计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不是采集到的事故或现实权限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3 GIS平行空间与微观基准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3.1 有向图及重复采样规范化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将空间模型表示为G=(V,E,C)，V为几何端点，E为有向道路分段，C为有来源的相邻边转向集合。同一道路的反向通行不由正向折线推断，平面相交不自动产生连接。使用局部米制近似绘图与计算长度：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x=R cosφ₀(λ−λ₀)，y=R(φ−φ₀)，R=6371008.8 m。 （1）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经纬度以弧度代入，(λ₀,φ₀)为研究区参考中心。BD09坐标保留其平台属性，该小范围近似不是测量级WGS84转换；所有路线另与平台距离交叉检查。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不同路线对同一物理道路的折线采样不一致，曾产生两处重叠同向边。增加探针后检测到路口碰撞，说明仅图上连通不足以保证运行正确。本文在同端点、同道路、单调且唯一已有链的条件下，以0.5米横向容差归并：e000182映射到e000116与e000000，e000133映射到e000280与e000281；最大横向残差分别0.1714、0.1946米，长度差均小于0.006米。未通过关闭碰撞检测绕过问题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规范化后得到305条外部有向分段、310个来源转向，排除2个显式调头后保留308个允许转向，保留原边到规范链映射、全部调查路径连续性和36组终端可达关系。扩大至2米的同端点候选扫描未发现额外待归并项。该结果证明本次规范化保持既有证据关系，不证明未知车道、信号及未调查道路已补齐；几何分段数量也不等于真实道路或路口数量。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724000" cy="429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29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图1 百度GIS子图、候选路径与完整扰动路段。AI辅助绘制；空间位置来自实际路线，事件为仿真设计。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3.2 孪生对象、状态与控制接口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道路对象保存坐标、方向、长度、允许转向和来源；车辆对象保存编号、原始释放时刻、位置、速度、目的地及路线；任务对象保存发布时间、目标和完成状态；控制对象保存已发布事件、当前动作及等待预算。状态推进写为：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S(t+Δt)=F(S(t),I≤t,U(t),θ)，O(t)=H(S(t))。 （2）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I≤t仅含当前已经接收或发布的信息，U为治理动作，θ为冻结参数，H将状态转换为路线时间、唯一停车数和系统成本。现实空间的道路证据映射到虚拟方向图，平台状态用于约束模型，控制后果通过真实仿真输出比较。当前系统为可复查研究原型，未连接现实信号机或现场控制设备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路网通过SUMO PlainXML机制[5]建立，采用priority让行规则。每条外部边采用一条有效通道，内部连接由仿真器根据允许转向生成。真实车道、现行信号配时与非机动车干扰尚缺独立观测，故不为每个路口编造周期和绿信比，而将其未分解影响保留在后续低维有效运行约束中。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3.3 车辆模型与数值设置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采用Eclipse SUMO 1.28.0的微观仿真与Krauss跟驰实现。车长、最小净距、加速度、减速度和期望时间间距采用该软件passenger类型相应默认值[6]；随机扰动sigma设为0、速度离散度设为0是人为的同质确定性简化。普通车辆与保障任务使用相同车辆类型和通行约束，避免性能差异混入策略效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项目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值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性质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基础速度尺度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30 km/h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工程尺度，有环评预测用值参照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车长、最小净距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 m、2.5 m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软件默认先验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加速度、正常减速度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2.6、4.5 m/s²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软件默认先验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期望时间间距tau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 s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软件默认先验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sigma、速度离散度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0、0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确定性同质简化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仿真步长、FCD周期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 s、5 s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数值推进与输出设置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1秒步长不大于所设期望时间间距，但这只是数值设置一致性，不能代替碰撞检查。每次运行均核对车辆数量守恒、完成状态及碰撞、异常传送、丢弃记录。相同确定性输入重复计算用于验证复现，不构成统计独立重复，也不支持随机显著性结论。本节规范化、建网与检查程序均由AI辅助实现。</w:t>
      </w:r>
    </w:p>
    <w:p>
      <w:pPr>
        <w:pStyle w:val="Heading1"/>
        <w:spacing w:before="20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4 问题一：SUMO内部反演与时间验证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4.1 为什么在仿真内部估计参数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几何正确不意味着旅行时间正确。缺少信号、交通需求和沿街干扰时，车辆可能过快通过模型。若只在输出时间外乘系数、加常数，显示数值虽可接近平台ETA，内部车辆运动、排队与控制响应并未随之改变。本文因此调整仿真输入并实际重跑，再直接比较在网时间；历史版本的仿射时间换算不进入本文主模型、车辆运动或治理指标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SUMO官方标定示例[7]展示了“更新参数—仿真—比较观测—再次更新”的闭环。demandify作者项目[8]提供利用路段速度反演需求的相关思路，但本文未安装执行其遗传算法。考虑只有4条重复OD观测，直接同时自由估计所有流量、信号与驾驶参数会严重欠约束，本文采用固定需求剖面、低维运行约束的有界坐标搜索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设六OD具有共同发车间隔h，h取60、30、18、15秒，OD之间按3秒错峰。三组参数θ分别作用于瑞金二路、建国西路及其他走廊，乘以30 km/h速度尺度，θ∈[0.08,1]。这些是综合信号、干扰和运行条件的有效约束，既不是被实测确认的限速，也不能唯一分解为某种交通成因。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18秒档参照当地历史量级：三组经过共同瑞金段的OD各200辆/小时，合计600辆/小时，接近历史621辆/小时但相差约3.38%。精确均分对应17.3913秒，18秒是公开工程选择，并非声称按最近整数还原真实流量。60、30、15秒档用于检验不同需求能否同样解释ETA。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4.2 目标函数、搜索与有效性门槛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四个观测OD的训练ETA中位数记为m_r，给定需求q(h)和参数θ，在预热后发出探针，三次探针平均在网时间记为T_r(θ,q)。训练目标为：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J(θ|q)=(1/4)Σ</w:t>
      </w:r>
      <w:r>
        <w:rPr>
          <w:rFonts w:ascii="Times New Roman" w:hAnsi="Times New Roman" w:eastAsia="宋体"/>
          <w:b w:val="0"/>
          <w:color w:val="000000"/>
          <w:sz w:val="24"/>
          <w:vertAlign w:val="subscript"/>
        </w:rPr>
        <w:t>r</w:t>
      </w:r>
      <w:r>
        <w:rPr>
          <w:rFonts w:ascii="Times New Roman" w:hAnsi="Times New Roman" w:eastAsia="宋体"/>
          <w:b w:val="0"/>
          <w:color w:val="000000"/>
          <w:sz w:val="24"/>
        </w:rPr>
        <w:t>[(T</w:t>
      </w:r>
      <w:r>
        <w:rPr>
          <w:rFonts w:ascii="Times New Roman" w:hAnsi="Times New Roman" w:eastAsia="宋体"/>
          <w:b w:val="0"/>
          <w:color w:val="000000"/>
          <w:sz w:val="24"/>
          <w:vertAlign w:val="subscript"/>
        </w:rPr>
        <w:t>r</w:t>
      </w:r>
      <w:r>
        <w:rPr>
          <w:rFonts w:ascii="Times New Roman" w:hAnsi="Times New Roman" w:eastAsia="宋体"/>
          <w:b w:val="0"/>
          <w:color w:val="000000"/>
          <w:sz w:val="24"/>
        </w:rPr>
        <w:t>(θ,q)−m</w:t>
      </w:r>
      <w:r>
        <w:rPr>
          <w:rFonts w:ascii="Times New Roman" w:hAnsi="Times New Roman" w:eastAsia="宋体"/>
          <w:b w:val="0"/>
          <w:color w:val="000000"/>
          <w:sz w:val="24"/>
          <w:vertAlign w:val="subscript"/>
        </w:rPr>
        <w:t>r</w:t>
      </w:r>
      <w:r>
        <w:rPr>
          <w:rFonts w:ascii="Times New Roman" w:hAnsi="Times New Roman" w:eastAsia="宋体"/>
          <w:b w:val="0"/>
          <w:color w:val="000000"/>
          <w:sz w:val="24"/>
        </w:rPr>
        <w:t>)/m</w:t>
      </w:r>
      <w:r>
        <w:rPr>
          <w:rFonts w:ascii="Times New Roman" w:hAnsi="Times New Roman" w:eastAsia="宋体"/>
          <w:b w:val="0"/>
          <w:color w:val="000000"/>
          <w:sz w:val="24"/>
          <w:vertAlign w:val="subscript"/>
        </w:rPr>
        <w:t>r</w:t>
      </w:r>
      <w:r>
        <w:rPr>
          <w:rFonts w:ascii="Times New Roman" w:hAnsi="Times New Roman" w:eastAsia="宋体"/>
          <w:b w:val="0"/>
          <w:color w:val="000000"/>
          <w:sz w:val="24"/>
        </w:rPr>
        <w:t>]²。 （3）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该目标以各路线相对误差均衡不同时间尺度，仅使用训练集。共同起点参数取0.18、0.25、0.35、0.50、0.70、1.00，随后按0.08、0.04、0.02、0.01、0.005的步幅逐坐标搜索，每档最多三轮。每个候选都运行真实SUMO，保存输入、XML输出、损失和无效原因。有限起点与局部搜索不提供全局最优保证；若某需求档部分起点均无效，不能由此推断其全部参数空间均不可行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反演前1200秒用于预热，六OD各在预热后的0、120、240秒发出一辆探针，并按OD增加7秒错峰，共18辆额外探针。背景需求持续至2400秒，观察至4800秒。探针在网时间与模型入口等待分别记录；候选需所有车辆完成且无检测碰撞、传送或丢弃，探针最大入网等待不超过20秒。20秒约为最短训练中位417秒的5%，该门槛在烟测后、正式搜索前统一冻结，属于工程误差预算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物理及完整性通过后，再检查每个OD的中位目标相对误差是否均不超过15%。15%是本研究的工程一致性筛选，不是统计置信界或现场精度认证。FHWA标定指南强调运行时间与交通吞吐等多类观测的联合约束[9]；本项目缺少同期独立车次，必须保留多解和外推限制。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4.3 训练结果与多解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实际运行221个参数候选，其中21个因物理、完成或探针入网条件被判无效。60秒与30秒需求档通过逐OD一致性筛选；18秒与15秒档的本次最优结果未通过，保留作模型失配诊断。按训练目标最小选择30秒档，未依据跨日评价重新选择需求或参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rPr>
          <w:cantSplit/>
          <w:tblHeader/>
        </w:trPr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需求间隔/s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瑞金倍率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建国西倍率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其他倍率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训练J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逐OD筛选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0.220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0.240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0.330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0.003809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通过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0.215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0.280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0.290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0.003200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通过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18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0.300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0.290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0.310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0.019898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未通过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15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0.360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0.330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0.340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0.063144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未通过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所选30秒档对应瑞金6.45、建国西8.40、其他走廊8.70 km/h的有效约束。下表为直接SUMO探针平均在网时间，未使用输出仿射换算。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cantSplit/>
          <w:tblHeader/>
        </w:trPr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观测OD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百度训练中位/s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直接SUMO/s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相对偏差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北→南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693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745.00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+7.50%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南→北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417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438.67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+5.20%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西→医院外围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476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452.67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−4.90%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东→医院外围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594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567.00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−4.55%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60秒档与30秒档的不同需求均能匹配训练ETA，说明ETA可限制综合运行时间，却未唯一识别交通量。后续队列和流量估计必须连同需求与约束一起报告；两档间范围只是本次有限候选包络，不是统计置信区间。反演协议、程序及优化结果由AI辅助构建，数值来自实际运行并保存完整候选记录。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4.4 同日与跨日泛化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参数冻结后，以同一预测时间与各时间块中的平台ETA逐条比较。定义MAE=n⁻¹Σ|T_i−y_i|，RMSE=[n⁻¹Σ(T_i−y_i)²]¹ᐟ²。另采用每OD训练中位数作简单参照；复杂模型需与该参照并列，不能仅凭训练拟合改善宣布预测优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cantSplit/>
          <w:tblHeader/>
        </w:trPr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时间块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样本数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直接SUMO MAE/s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训练中位基准MAE/s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训练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48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69.58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57.60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同日探索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16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124.75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119.75</w:t>
            </w:r>
          </w:p>
        </w:tc>
      </w:tr>
      <w:tr>
        <w:trPr>
          <w:cantSplit/>
        </w:trPr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跨日留出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96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206.29</w:t>
            </w:r>
          </w:p>
        </w:tc>
        <w:tc>
          <w:tcPr>
            <w:tcW w:type="dxa" w:w="2296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200.46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跨日RMSE为209.90秒、平均偏差为+206.29秒，主要表现为固定训练状态对次日平台时间的系统性高估。当前模型比简单基准仍差，故结果不支持跨日预测性能更好。18秒及15秒档的跨日误差虽然更小，但它们未通过训练筛选；若据此改选，将混入评价集信息。本文保留训练选择和全部评价结果。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724000" cy="343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43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图2 直接SUMO时间与平台训练中位及时间留出误差。AI辅助统计；平台ETA不是逐车实测。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入选参数另在新目录、独立建网缓存中从零重算，嵌套指标一致；预热由1200延长至1800秒，六OD探针平均时间和最大入网等待不变。这支持已选计算的复现与所测预热稳定性，不补足现场有效性，也不代替尚未进行的步长或随机异质性敏感性试验。</w:t>
      </w:r>
    </w:p>
    <w:p>
      <w:pPr>
        <w:pStyle w:val="Heading1"/>
        <w:spacing w:before="20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5 缺失交通流与排队的条件估计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5.1 从可解释的需求候选生成状态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没有车次计数时，不能把平台ETA唯一反推出“每分钟来了多少车”。本文先明确需求候选，再用观测筛选综合运行条件，最后读取这些条件下实际产生的流量和等待。这样得到的是可计算、可复查的条件估计，其用途是评价模型假设下的机制，而非填造现场监测值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单OD请求率为60/h辆/分钟，六OD总请求率为360/h辆/分钟。背景流量在同一瑞金单断面边e000095计数，每车只记一次通过，避免把同一车辆经过多条折线分段反复相加。请求率与断面通过率不同：某些OD不经过该断面，且拥堵可能改变观测窗内实际通过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cantSplit/>
          <w:tblHeader/>
        </w:trPr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需求间隔/s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每OD辆/分钟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六OD请求辆/分钟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瑞金断面辆/小时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普通车平均停车/s</w:t>
            </w:r>
          </w:p>
        </w:tc>
      </w:tr>
      <w:tr>
        <w:trPr>
          <w:cantSplit/>
        </w:trPr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60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1.00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6.00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180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0.025</w:t>
            </w:r>
          </w:p>
        </w:tc>
      </w:tr>
      <w:tr>
        <w:trPr>
          <w:cantSplit/>
        </w:trPr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30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2.00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12.00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360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2.125</w:t>
            </w:r>
          </w:p>
        </w:tc>
      </w:tr>
      <w:tr>
        <w:trPr>
          <w:cantSplit/>
        </w:trPr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18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3.33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20.00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573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16.634</w:t>
            </w:r>
          </w:p>
        </w:tc>
      </w:tr>
      <w:tr>
        <w:trPr>
          <w:cantSplit/>
        </w:trPr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15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4.00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24.00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690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40.842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瑞金断面通过率统计1200≤t&lt;2400窗口；普通车平均停车时间统计已完成背景车辆的全行程，与下一节逐秒全网唯一停车车辆数的口径不同。前两行通过训练筛选，可用于相应拟合条件下讨论；后两行只用于诊断。探针车辆属于额外测量负荷，与背景需求和断面背景流量分开。历史混合车型计数与本模型同类小客车需求不同，也不能把573与621接近解释为现场流量已验证。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5.2 停车数与道路占用的不同口径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全网唯一停车车辆数使用SUMO逐秒summary.halting[10]，在1200≤t&lt;2400的1200个连续秒上计算均值与最大值。其停车阈值为速度低于0.1 m/s，包含在网探针，不含未入网请求及显式停车任务。60秒与30秒档的均值分别0.150、0.828辆，最大值分别2、4辆；18秒和15秒档的均值分别8.331、18.733辆，最大值16、43辆。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逐道路也保存edgeData等待量，但短边可能被同一车身同时占据，沿多个短边累加等待占用会重复计数[11]。因此道路级累计值称为“停车占用指标”，不等同于全网唯一排队人数。源端等待、SUMO入口等待、在网停车又是三个不同阶段，不能用其中一个代替完整出行成本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前两档停车较少，并不证明现实道路没有红灯排队。低速有效约束已经吸收部分未分解延误，模型可以用持续慢行解释相同ETA，而现实可能是快行与红灯停车交替。仅有路线总时间时，这两种微观机制难以区分。真实信号周期、红灯等待和排队成因仍待独立车次、轨迹及信号记录约束。本节估计提取与计量审查由AI辅助，全部数值标为条件仿真输出。</w:t>
      </w:r>
    </w:p>
    <w:p>
      <w:pPr>
        <w:pStyle w:val="Heading1"/>
        <w:spacing w:before="20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6 问题二：有来源拥堵与路径治理A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6.1 事件构造及数据条件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拥堵事件选择西侧到医院路线中的完整瑞金二路步骤：平台长度276米，规范路网长度278.665139米，共19条外部边。训练期12条同几何步骤样本的有效速度u_j=3.6d_j/t_j，其统计值为中位6.0041、下四分位4.9473、十分位4.2317 km/h。以速度分位数相对中位数的比例定义两档强度：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ρ₂₅=Q₂₅(u)/Q₅₀(u)=0.823991789；ρ₁₀=Q₁₀(u)/Q₅₀(u)=0.704801929。 （4）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事件生效时，将覆盖边原有有效运行约束乘以ρ，通过SUMO可变速度约束机制实现[12]；内部路口边保留建网速度。该比例表达同几何训练变化支持的反事实扰动，不把观测平均速度当点限速，也不声称现场发生对应事故或天气事件。曾使用的无来源绝对慢行速度不进入本文实验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前1200秒预热，1800秒发布并开始事件，持续600秒至2400秒。600秒为两个路线采样间隔的实验设计；300、900秒仅是可选尺度，本批次没有执行其敏感性分析。背景需求至3000秒，观察至6000秒。需求、参数及事件强度在比较策略前冻结。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6.2 当前信息完整路径选择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A在车辆原始释放时刻r_i，对具有相同首末边的完整候选路径计算当前已知代价：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Ĉ(P,r</w:t>
      </w:r>
      <w:r>
        <w:rPr>
          <w:rFonts w:ascii="Times New Roman" w:hAnsi="Times New Roman" w:eastAsia="宋体"/>
          <w:b w:val="0"/>
          <w:color w:val="000000"/>
          <w:sz w:val="24"/>
          <w:vertAlign w:val="subscript"/>
        </w:rPr>
        <w:t>i</w:t>
      </w:r>
      <w:r>
        <w:rPr>
          <w:rFonts w:ascii="Times New Roman" w:hAnsi="Times New Roman" w:eastAsia="宋体"/>
          <w:b w:val="0"/>
          <w:color w:val="000000"/>
          <w:sz w:val="24"/>
        </w:rPr>
        <w:t>)=Σ</w:t>
      </w:r>
      <w:r>
        <w:rPr>
          <w:rFonts w:ascii="Times New Roman" w:hAnsi="Times New Roman" w:eastAsia="宋体"/>
          <w:b w:val="0"/>
          <w:color w:val="000000"/>
          <w:sz w:val="24"/>
          <w:vertAlign w:val="subscript"/>
        </w:rPr>
        <w:t>(e∈P)</w:t>
      </w:r>
      <w:r>
        <w:rPr>
          <w:rFonts w:ascii="Times New Roman" w:hAnsi="Times New Roman" w:eastAsia="宋体"/>
          <w:b w:val="0"/>
          <w:color w:val="000000"/>
          <w:sz w:val="24"/>
        </w:rPr>
        <w:t>l</w:t>
      </w:r>
      <w:r>
        <w:rPr>
          <w:rFonts w:ascii="Times New Roman" w:hAnsi="Times New Roman" w:eastAsia="宋体"/>
          <w:b w:val="0"/>
          <w:color w:val="000000"/>
          <w:sz w:val="24"/>
          <w:vertAlign w:val="subscript"/>
        </w:rPr>
        <w:t>e</w:t>
      </w:r>
      <w:r>
        <w:rPr>
          <w:rFonts w:ascii="Times New Roman" w:hAnsi="Times New Roman" w:eastAsia="宋体"/>
          <w:b w:val="0"/>
          <w:color w:val="000000"/>
          <w:sz w:val="24"/>
        </w:rPr>
        <w:t>/ṽ</w:t>
      </w:r>
      <w:r>
        <w:rPr>
          <w:rFonts w:ascii="Times New Roman" w:hAnsi="Times New Roman" w:eastAsia="宋体"/>
          <w:b w:val="0"/>
          <w:color w:val="000000"/>
          <w:sz w:val="24"/>
          <w:vertAlign w:val="subscript"/>
        </w:rPr>
        <w:t>e</w:t>
      </w:r>
      <w:r>
        <w:rPr>
          <w:rFonts w:ascii="Times New Roman" w:hAnsi="Times New Roman" w:eastAsia="宋体"/>
          <w:b w:val="0"/>
          <w:color w:val="000000"/>
          <w:sz w:val="24"/>
        </w:rPr>
        <w:t>(r</w:t>
      </w:r>
      <w:r>
        <w:rPr>
          <w:rFonts w:ascii="Times New Roman" w:hAnsi="Times New Roman" w:eastAsia="宋体"/>
          <w:b w:val="0"/>
          <w:color w:val="000000"/>
          <w:sz w:val="24"/>
          <w:vertAlign w:val="subscript"/>
        </w:rPr>
        <w:t>i</w:t>
      </w:r>
      <w:r>
        <w:rPr>
          <w:rFonts w:ascii="Times New Roman" w:hAnsi="Times New Roman" w:eastAsia="宋体"/>
          <w:b w:val="0"/>
          <w:color w:val="000000"/>
          <w:sz w:val="24"/>
        </w:rPr>
        <w:t>)，P</w:t>
      </w:r>
      <w:r>
        <w:rPr>
          <w:rFonts w:ascii="Times New Roman" w:hAnsi="Times New Roman" w:eastAsia="宋体"/>
          <w:b w:val="0"/>
          <w:color w:val="000000"/>
          <w:sz w:val="24"/>
          <w:vertAlign w:val="subscript"/>
        </w:rPr>
        <w:t>i</w:t>
      </w:r>
      <w:r>
        <w:rPr>
          <w:rFonts w:ascii="Times New Roman" w:hAnsi="Times New Roman" w:eastAsia="宋体"/>
          <w:b w:val="0"/>
          <w:color w:val="000000"/>
          <w:sz w:val="24"/>
        </w:rPr>
        <w:t>ᴬ=argmin</w:t>
      </w:r>
      <w:r>
        <w:rPr>
          <w:rFonts w:ascii="Times New Roman" w:hAnsi="Times New Roman" w:eastAsia="宋体"/>
          <w:b w:val="0"/>
          <w:color w:val="000000"/>
          <w:sz w:val="24"/>
          <w:vertAlign w:val="subscript"/>
        </w:rPr>
        <w:t>(P∈𝒫_i)</w:t>
      </w:r>
      <w:r>
        <w:rPr>
          <w:rFonts w:ascii="Times New Roman" w:hAnsi="Times New Roman" w:eastAsia="宋体"/>
          <w:b w:val="0"/>
          <w:color w:val="000000"/>
          <w:sz w:val="24"/>
        </w:rPr>
        <w:t>Ĉ(P,r</w:t>
      </w:r>
      <w:r>
        <w:rPr>
          <w:rFonts w:ascii="Times New Roman" w:hAnsi="Times New Roman" w:eastAsia="宋体"/>
          <w:b w:val="0"/>
          <w:color w:val="000000"/>
          <w:sz w:val="24"/>
          <w:vertAlign w:val="subscript"/>
        </w:rPr>
        <w:t>i</w:t>
      </w:r>
      <w:r>
        <w:rPr>
          <w:rFonts w:ascii="Times New Roman" w:hAnsi="Times New Roman" w:eastAsia="宋体"/>
          <w:b w:val="0"/>
          <w:color w:val="000000"/>
          <w:sz w:val="24"/>
        </w:rPr>
        <w:t>)。 （5）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默认路径始终参与比较，同代价时保留默认。事件发布前，各策略使用相同默认路线；A不预知未来事件恢复，不使用未来队列，不把车辆瞬移到另一吸附起点。代价函数仅包含已知外部边长度和有效速度，是可解释的选路规则，不等于已经预测了全部路口等待，也不保证系统最优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S2固定组与A组共享车辆需求、物理参数、事件和观察时限，唯一差异为发布时的路径选择。增加路线候选不增加车辆。治理组不额外加入反演时的18辆探针，S1亦在治理协议下重新运行，因此不能拿反演探针ETA直接替代治理基准。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6.3 与一般交通及固定路径比较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四档需求、两档事件强度中，A在全部16次治理运行里均没有改变路径。下表列出通过训练筛选的需求档：事件增加普通交通成本，但A与对应固定路径组相同。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cantSplit/>
          <w:tblHeader/>
        </w:trPr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需求间隔/s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强度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S1普通总时间/车·秒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S2固定与A/车·秒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事件增量/车·秒</w:t>
            </w:r>
          </w:p>
        </w:tc>
      </w:tr>
      <w:tr>
        <w:trPr>
          <w:cantSplit/>
        </w:trPr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60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ρ₂₅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173643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174571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+928</w:t>
            </w:r>
          </w:p>
        </w:tc>
      </w:tr>
      <w:tr>
        <w:trPr>
          <w:cantSplit/>
        </w:trPr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60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ρ₁₀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173643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175299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+1656</w:t>
            </w:r>
          </w:p>
        </w:tc>
      </w:tr>
      <w:tr>
        <w:trPr>
          <w:cantSplit/>
        </w:trPr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30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ρ₂₅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365459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367262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+1803</w:t>
            </w:r>
          </w:p>
        </w:tc>
      </w:tr>
      <w:tr>
        <w:trPr>
          <w:cantSplit/>
        </w:trPr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30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ρ₁₀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365459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369164</w:t>
            </w:r>
          </w:p>
        </w:tc>
        <w:tc>
          <w:tcPr>
            <w:tcW w:type="dxa" w:w="1837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+3705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这不是算法未被执行，而是当前候选与代价结构不支持换路。完整事件段中209.930048米为两条医院方向候选共同经过，只有68.735091米可以绕开；备选完整路径还比默认多717.126147米。应按完整事件几何评价，而不能只保留可绕开部分以放大治理收益。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6.4 负结果的路径阈值推导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令O为事件外的长度/有效速度之和，E为事件内在倍率施加前的同类成本。则C₀(ρ)=O₀+E₀/ρ，C₁(ρ)=O₁+E₁/ρ。共同事件段具有相同长度、速度和倍率，相减后消去。记ΔO=O₁−O₀&gt;0、ΔE=E₀−E₁&gt;0，可得：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C₁(ρ)−C₀(ρ)=ΔO−ΔE/ρ；ρ*=ΔE/ΔO。 （6）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只有ρ&lt;ρ*，A才会选择备选；相等时按规则保留默认。60秒档ΔE=37.491868秒、ΔO=285.767723秒，ρ*=0.131197；30秒档为38.363772秒、325.183961秒，ρ*=0.117976。两档实际倍率0.8240、0.7048远高于该阈值，即使训练最小速度对应的倍率0.6541仍未达到换路条件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该推导解释当前静态成本规则的动作边界，不是整个交通系统的最优控制阈值。在现有观测支持范围内，A无收益是结构限制与强度共同作用的结果。若继续调低倍率直到出现改道，就会超出当前训练变化的支持范围。本文保留零改道结果，事件构造、算法实现及阈值复核由AI辅助完成。</w:t>
      </w:r>
    </w:p>
    <w:p>
      <w:pPr>
        <w:pStyle w:val="Heading1"/>
        <w:spacing w:before="20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7 问题三：有界源端协调B及公平性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7.1 保障任务与因果控制规则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S3在S2相同普通需求上，于1920秒发布一次西侧至医院外围接驳任务。任务车与普通车共享车型、安全规则和有效运行约束。B在A基础上协调尚未入网的普通请求：任务发布后，根据任务车辆当前routeIndex更新剩余路线，对与其剩余走廊重叠的请求暂缓放行。状态查询与车辆放行由SUMO控制接口实现[13]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设任务发布时间r_a、剩余边集合R_a(t)、普通车选定路径P_i、累计控制等待h_i(t)，控制规则为：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u</w:t>
      </w:r>
      <w:r>
        <w:rPr>
          <w:rFonts w:ascii="Times New Roman" w:hAnsi="Times New Roman" w:eastAsia="宋体"/>
          <w:b w:val="0"/>
          <w:color w:val="000000"/>
          <w:sz w:val="24"/>
          <w:vertAlign w:val="subscript"/>
        </w:rPr>
        <w:t>i</w:t>
      </w:r>
      <w:r>
        <w:rPr>
          <w:rFonts w:ascii="Times New Roman" w:hAnsi="Times New Roman" w:eastAsia="宋体"/>
          <w:b w:val="0"/>
          <w:color w:val="000000"/>
          <w:sz w:val="24"/>
        </w:rPr>
        <w:t>(t)=1{任务活跃}·1{t−r</w:t>
      </w:r>
      <w:r>
        <w:rPr>
          <w:rFonts w:ascii="Times New Roman" w:hAnsi="Times New Roman" w:eastAsia="宋体"/>
          <w:b w:val="0"/>
          <w:color w:val="000000"/>
          <w:sz w:val="24"/>
          <w:vertAlign w:val="subscript"/>
        </w:rPr>
        <w:t>a</w:t>
      </w:r>
      <w:r>
        <w:rPr>
          <w:rFonts w:ascii="Times New Roman" w:hAnsi="Times New Roman" w:eastAsia="宋体"/>
          <w:b w:val="0"/>
          <w:color w:val="000000"/>
          <w:sz w:val="24"/>
        </w:rPr>
        <w:t>&lt;180}·1{h</w:t>
      </w:r>
      <w:r>
        <w:rPr>
          <w:rFonts w:ascii="Times New Roman" w:hAnsi="Times New Roman" w:eastAsia="宋体"/>
          <w:b w:val="0"/>
          <w:color w:val="000000"/>
          <w:sz w:val="24"/>
          <w:vertAlign w:val="subscript"/>
        </w:rPr>
        <w:t>i</w:t>
      </w:r>
      <w:r>
        <w:rPr>
          <w:rFonts w:ascii="Times New Roman" w:hAnsi="Times New Roman" w:eastAsia="宋体"/>
          <w:b w:val="0"/>
          <w:color w:val="000000"/>
          <w:sz w:val="24"/>
        </w:rPr>
        <w:t>(t)&lt;45}·1{P</w:t>
      </w:r>
      <w:r>
        <w:rPr>
          <w:rFonts w:ascii="Times New Roman" w:hAnsi="Times New Roman" w:eastAsia="宋体"/>
          <w:b w:val="0"/>
          <w:color w:val="000000"/>
          <w:sz w:val="24"/>
          <w:vertAlign w:val="subscript"/>
        </w:rPr>
        <w:t>i</w:t>
      </w:r>
      <w:r>
        <w:rPr>
          <w:rFonts w:ascii="Times New Roman" w:hAnsi="Times New Roman" w:eastAsia="宋体"/>
          <w:b w:val="0"/>
          <w:color w:val="000000"/>
          <w:sz w:val="24"/>
        </w:rPr>
        <w:t>∩R</w:t>
      </w:r>
      <w:r>
        <w:rPr>
          <w:rFonts w:ascii="Times New Roman" w:hAnsi="Times New Roman" w:eastAsia="宋体"/>
          <w:b w:val="0"/>
          <w:color w:val="000000"/>
          <w:sz w:val="24"/>
          <w:vertAlign w:val="subscript"/>
        </w:rPr>
        <w:t>a</w:t>
      </w:r>
      <w:r>
        <w:rPr>
          <w:rFonts w:ascii="Times New Roman" w:hAnsi="Times New Roman" w:eastAsia="宋体"/>
          <w:b w:val="0"/>
          <w:color w:val="000000"/>
          <w:sz w:val="24"/>
        </w:rPr>
        <w:t>(t)≠∅}。 （7）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u_i=1表示本步暂缓入网。任务通过冲突边、控制窗口结束或单车预算达到上限时即解除相应控制。该控制仅作用于任务发布后提出、尚未进入路网的普通需求，不提前清空道路，不对在网车辆强制停车，不删除需求。单车45秒和整体180秒是算法约束，代表假设可协调出发点或车队的权限，并非现实城市车辆已授权接受统一延迟。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7.2 完整计时与公平比较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设普通车原始请求时刻r_i、控制后放行时刻a_i、实际进入SUMO时刻d_i、到达时刻f_i，完整系统时间定义为：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T</w:t>
      </w:r>
      <w:r>
        <w:rPr>
          <w:rFonts w:ascii="Times New Roman" w:hAnsi="Times New Roman" w:eastAsia="宋体"/>
          <w:b w:val="0"/>
          <w:color w:val="000000"/>
          <w:sz w:val="24"/>
          <w:vertAlign w:val="subscript"/>
        </w:rPr>
        <w:t>i</w:t>
      </w:r>
      <w:r>
        <w:rPr>
          <w:rFonts w:ascii="Times New Roman" w:hAnsi="Times New Roman" w:eastAsia="宋体"/>
          <w:b w:val="0"/>
          <w:color w:val="000000"/>
          <w:sz w:val="24"/>
        </w:rPr>
        <w:t>=f</w:t>
      </w:r>
      <w:r>
        <w:rPr>
          <w:rFonts w:ascii="Times New Roman" w:hAnsi="Times New Roman" w:eastAsia="宋体"/>
          <w:b w:val="0"/>
          <w:color w:val="000000"/>
          <w:sz w:val="24"/>
          <w:vertAlign w:val="subscript"/>
        </w:rPr>
        <w:t>i</w:t>
      </w:r>
      <w:r>
        <w:rPr>
          <w:rFonts w:ascii="Times New Roman" w:hAnsi="Times New Roman" w:eastAsia="宋体"/>
          <w:b w:val="0"/>
          <w:color w:val="000000"/>
          <w:sz w:val="24"/>
        </w:rPr>
        <w:t>−r</w:t>
      </w:r>
      <w:r>
        <w:rPr>
          <w:rFonts w:ascii="Times New Roman" w:hAnsi="Times New Roman" w:eastAsia="宋体"/>
          <w:b w:val="0"/>
          <w:color w:val="000000"/>
          <w:sz w:val="24"/>
          <w:vertAlign w:val="subscript"/>
        </w:rPr>
        <w:t>i</w:t>
      </w:r>
      <w:r>
        <w:rPr>
          <w:rFonts w:ascii="Times New Roman" w:hAnsi="Times New Roman" w:eastAsia="宋体"/>
          <w:b w:val="0"/>
          <w:color w:val="000000"/>
          <w:sz w:val="24"/>
        </w:rPr>
        <w:t>=(a</w:t>
      </w:r>
      <w:r>
        <w:rPr>
          <w:rFonts w:ascii="Times New Roman" w:hAnsi="Times New Roman" w:eastAsia="宋体"/>
          <w:b w:val="0"/>
          <w:color w:val="000000"/>
          <w:sz w:val="24"/>
          <w:vertAlign w:val="subscript"/>
        </w:rPr>
        <w:t>i</w:t>
      </w:r>
      <w:r>
        <w:rPr>
          <w:rFonts w:ascii="Times New Roman" w:hAnsi="Times New Roman" w:eastAsia="宋体"/>
          <w:b w:val="0"/>
          <w:color w:val="000000"/>
          <w:sz w:val="24"/>
        </w:rPr>
        <w:t>−r</w:t>
      </w:r>
      <w:r>
        <w:rPr>
          <w:rFonts w:ascii="Times New Roman" w:hAnsi="Times New Roman" w:eastAsia="宋体"/>
          <w:b w:val="0"/>
          <w:color w:val="000000"/>
          <w:sz w:val="24"/>
          <w:vertAlign w:val="subscript"/>
        </w:rPr>
        <w:t>i</w:t>
      </w:r>
      <w:r>
        <w:rPr>
          <w:rFonts w:ascii="Times New Roman" w:hAnsi="Times New Roman" w:eastAsia="宋体"/>
          <w:b w:val="0"/>
          <w:color w:val="000000"/>
          <w:sz w:val="24"/>
        </w:rPr>
        <w:t>)+(d</w:t>
      </w:r>
      <w:r>
        <w:rPr>
          <w:rFonts w:ascii="Times New Roman" w:hAnsi="Times New Roman" w:eastAsia="宋体"/>
          <w:b w:val="0"/>
          <w:color w:val="000000"/>
          <w:sz w:val="24"/>
          <w:vertAlign w:val="subscript"/>
        </w:rPr>
        <w:t>i</w:t>
      </w:r>
      <w:r>
        <w:rPr>
          <w:rFonts w:ascii="Times New Roman" w:hAnsi="Times New Roman" w:eastAsia="宋体"/>
          <w:b w:val="0"/>
          <w:color w:val="000000"/>
          <w:sz w:val="24"/>
        </w:rPr>
        <w:t>−a</w:t>
      </w:r>
      <w:r>
        <w:rPr>
          <w:rFonts w:ascii="Times New Roman" w:hAnsi="Times New Roman" w:eastAsia="宋体"/>
          <w:b w:val="0"/>
          <w:color w:val="000000"/>
          <w:sz w:val="24"/>
          <w:vertAlign w:val="subscript"/>
        </w:rPr>
        <w:t>i</w:t>
      </w:r>
      <w:r>
        <w:rPr>
          <w:rFonts w:ascii="Times New Roman" w:hAnsi="Times New Roman" w:eastAsia="宋体"/>
          <w:b w:val="0"/>
          <w:color w:val="000000"/>
          <w:sz w:val="24"/>
        </w:rPr>
        <w:t>)+(f</w:t>
      </w:r>
      <w:r>
        <w:rPr>
          <w:rFonts w:ascii="Times New Roman" w:hAnsi="Times New Roman" w:eastAsia="宋体"/>
          <w:b w:val="0"/>
          <w:color w:val="000000"/>
          <w:sz w:val="24"/>
          <w:vertAlign w:val="subscript"/>
        </w:rPr>
        <w:t>i</w:t>
      </w:r>
      <w:r>
        <w:rPr>
          <w:rFonts w:ascii="Times New Roman" w:hAnsi="Times New Roman" w:eastAsia="宋体"/>
          <w:b w:val="0"/>
          <w:color w:val="000000"/>
          <w:sz w:val="24"/>
        </w:rPr>
        <w:t>−d</w:t>
      </w:r>
      <w:r>
        <w:rPr>
          <w:rFonts w:ascii="Times New Roman" w:hAnsi="Times New Roman" w:eastAsia="宋体"/>
          <w:b w:val="0"/>
          <w:color w:val="000000"/>
          <w:sz w:val="24"/>
          <w:vertAlign w:val="subscript"/>
        </w:rPr>
        <w:t>i</w:t>
      </w:r>
      <w:r>
        <w:rPr>
          <w:rFonts w:ascii="Times New Roman" w:hAnsi="Times New Roman" w:eastAsia="宋体"/>
          <w:b w:val="0"/>
          <w:color w:val="000000"/>
          <w:sz w:val="24"/>
        </w:rPr>
        <w:t>)。 （8）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三项依次为源端控制等待、仿真入口等待、在网行程。治理不能把车辆暂存到模型边界外再从入网时刻计时，否则控制成本被隐藏。普通总成本C=Σ_i T_i，任务时间单列；逐车差ΔT_i=T_iᴮ−T_iᴬ，并统计受益、受损、持平及最大损失。单车源端等待≤45秒不意味着总行程损失≤45秒，后续汇流时机与排队仍可能变化。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每对实验核对需求、事件和物理输入摘要，检查事件发布前FCD轨迹一致；A/B另检查任务发布前轨迹一致。这些检查排除提前知道任务、改变需求或车辆性能造成的伪收益。若出现未完成、碰撞、异常传送或丢弃，保存原记录并禁止宣称有效治理收益。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7.3 治理结果与个体损益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每个需求档运行1组S1和两档强度各5组对照，即S2固定/A及S3固定/A/B，四档共44组。这些是确定性场景组合，不是44次统计独立重复。34113辆次全部到达，未检测到碰撞、传送或丢弃。32个配对中，16个同时通过训练时间筛选，另16个虽物理完整但仅作诊断。下表只给可支持拟合条件结论的四组B−A比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rPr>
          <w:cantSplit/>
          <w:tblHeader/>
        </w:trPr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需求/强度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S3固定=A普通总成本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B普通总成本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普通变化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任务固定=A→B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任务变化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60秒/ρ₂₅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174571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175268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+697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505→505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60秒/ρ₁₀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175299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175930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+631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533→533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30秒/ρ₂₅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367441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368878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+1437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488→518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+30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30秒/ρ₁₀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369378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370874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+1496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515→540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+25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普通总成本及其变化单位为车·秒，任务时间单位为秒。S3固定与A都增加相同的额外任务，因A未换路而完全相同；S3相对S2的普通成本变化来自该任务与背景车流的交互，B−A才隔离源端控制的净作用。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60秒档B的主动源端等待均为675车·秒，30秒档均为1233车·秒；它们与总成本增量不同，差额来自入网和在网过程变化。四组任务均无缩短，普通交通总成本均增加。当前证据不支持将该B机制作为有效保障策略推荐到现场，也不能沿用历史版本不同假设下的任务收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rPr>
          <w:cantSplit/>
          <w:tblHeader/>
        </w:trPr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需求间隔/s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强度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受益车辆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受损车辆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持平车辆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最大增加/s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ρ₂₅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17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283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60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ρ₁₀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17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283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49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ρ₂₅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9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55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536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53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ρ₁₀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57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533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49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30秒档仍有少量普通车辆因到达冲突位置的时序改变而受益，但不足以补偿受损者。最大总损失60或53秒高于45秒源端上限，说明控制预算与整体公平性必须分别核算。18秒档B普通成本也增加，任务持平；15秒强情景出现任务减少16秒，但该需求档未通过训练筛选，且普通成本增加6135车·秒，不能将其单独选作有效治理证据。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7.4 对协调机制的解释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B只改变尚未入网车辆的到达节奏，不能移除任务前方已有车辆，也不能绕开共同受限末段。在已通过筛选的稀疏或中等需求中，任务延误未必由可控新增需求主导；将这些请求推迟便可能主要增加源端等待。放行节奏改变还可能使车辆在后续汇流重新相遇，因此“先少放一些普通车”不必然转换为任务收益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上述解释由机制及配对轨迹支持，但未进一步识别现实排队成因。下一步若改进B，应先增加实时下游占有、预计冲突到达时刻和可控需求覆盖率证据，再在独立情景检验控制收益；不能只依据本批结果反复调节预算直到获得正值。本节控制实现、44组编排、逐车比较和图表均有AI辅助，全部结果保留来源和运行输出。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724000" cy="330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ernance_v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3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图3 通过训练筛选的四组B相对A耗时变化。AI辅助统计；正值表示增加，单位按各面板标注。</w:t>
      </w:r>
    </w:p>
    <w:p>
      <w:pPr>
        <w:pStyle w:val="Heading1"/>
        <w:spacing w:before="20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8 时空对应、系统封装与复现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8.1 观测时间与反事实时间轴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采集时钟、统计窗口、仿真计算步和回放采样分别保存。空间上，外部边映射至百度有向折线，内部路口连接为仿真生成；时间上，FCD记录实际仿真位置与速度[14]，轨迹图采用5秒输出，控制与统计仍按1秒推进。显示的模拟车辆不是百度监测车辆，不把平滑动画当作实测轨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时间层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时间尺度或关键点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含义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官方采集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路况约120秒，路线约300秒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保存请求与接收时刻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标定时间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预热1200，背景至2400，终点4800秒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固定探针测量直接在网时间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治理事件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t=1800—2400秒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同时发布并开始，持续600秒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保障任务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t=1920秒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任务发布后才允许B启动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治理背景与观察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背景至3000，观察至6000秒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保留完整到达和等待成本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计算与回放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1秒计算，5秒FCD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数值状态与展示采样分离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治理时间轴为在冻结训练状态上叠加反事实事件，并非重建某次真实事故。图4展示30秒需求强事件下A/B的实际FCD与源端等待时间序列；车辆轨迹取5秒FCD，源端等待取30秒日志样本，底层仿真和控制仍按1秒推进。图中的事件带和任务线对应上述模拟时刻，观测图则使用实际采集日期。二者通过同一路网和标定参数相联系，不能把模拟秒数直接冒充某日现场发生时间。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724000" cy="381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series_v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8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图4 30秒需求档较强事件的实际仿真时序。AI辅助统计FCD与源端队列；横轴为模拟秒。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8.2 一体化系统与结果校验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系统采用Python组织数据、配置、标定和结果，工作区内SUMO执行微观模型；只读说明入口为python3 project_v2.py。数据层保存原始响应和结构化快照，模型层保存规范图与参数，实验层保存每个候选、治理输入和输出，展示层读取冻结摘要与轨迹。只读查看不启动采集、重新优化或修改原始数据。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完整复现链包括观测重建、路网规范化、内部标定、留出评价、治理和汇总。现有正式目录冻结保留；不同协议须使用独立工作副本；治理程序亦支持显式指定独立输出目录。148项实际测试通过，独立审查覆盖221个标定候选、44个治理运行及其配对；265个正式运行共7640项产物摘要一致。完整XML保留于工作区，支撑包保存必要的小结果与两组图示FCD；重算需在独立工作副本安装指定SUMO与依赖，包内不捆绑工具环境。标定入口在已有fit时拒绝覆盖，应保留正式证据后在工作副本执行。该证据用于检验程序行为和数据完整性，不替代缺失的现场测量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独立复算保存失败和修正历史，未只展示最后一次成功。公开产物与私密账户配置分离，论文、日志展示及提交材料不得含AK、SK、签名或含凭据URL。本项目新增工具与依赖设置在工作区，未修改系统或原有Conda环境；程序提供Python入口，必要版本及依赖写入支撑说明。本节封装与技术校验由AI辅助完成。</w:t>
      </w:r>
    </w:p>
    <w:p>
      <w:pPr>
        <w:pStyle w:val="Heading1"/>
        <w:spacing w:before="20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9 结果讨论与适用边界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9.1 已获得的结论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第一，官方路线数据能够支撑所选街区方向图和完整候选，但需处理不同折线对同物理道路的重复采样。归并前后保存映射与运行检测，比仅观察地图是否相似更能发现拓扑问题。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第二，在SUMO内部估计有效运行约束，可以使直接车辆时间接近训练期路线中位ETA。其意义在于模型运动本身受到时间观测约束；它不意味着所有微观参数已真实恢复。两档不同需求均通过筛选，是交通量不可唯一识别的实证表现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第三，治理效果由可执行动作、共同瓶颈、需求和控制成本共同决定。A无改道可由阈值直接解释，B无任务收益且增加普通成本可由完整配对证据确认。选择性展示高需求诊断中的局部收益会混淆模型适用性，故本文保留全部运行及负结果。</w:t>
      </w:r>
    </w:p>
    <w:p>
      <w:pPr>
        <w:pStyle w:val="Heading2"/>
        <w:spacing w:before="120" w:after="120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9.2 未识别量与下一步证据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研究限制主要在三方面。其一，两段周末短窗口、四条相关ETA不足以描述长期交通分布，跨日高估表明固定参数难以适应状态变化。其二，一条有效通道、priority规则和同质小客车不能重现真实信号、非机动车和停车干扰；有效慢行与真实停走机制可产生相似总时间。其三，控制服从率、源端覆盖率和真实急救入口未核验，B仅是给定权限下的仿真机制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最有价值的补充数据应优先直接减少上述不可识别性：同一断面分时车次和转向计数用于约束需求，路口相位与排队记录用于区分慢行和红灯等待，同步车辆轨迹用于检验加减速与旅行时间分解。增加同一ETA接口请求次数虽能描述变化，却不能替代这些不同类型的观测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已核查的上海高精度车辆轨迹数据[15]及作者数据目录[16]可作为轨迹处理和方法验证参考，但采样地点、日期和对象不同，不能移植为瑞金医院当日实测流量；本研究仅核查目录，没有将其轨迹纳入标定。公开数据可提供方法先验，最终当地状态仍应由对应时空范围的观测约束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后续改进可采用滚动时段状态估计、增加独立流量约束、细化真实信号与交通参与者，再对治理策略实施新的留出验证。本轮未完成随机异质性、多种子、步长0.5秒以及300/900秒事件时长试验，不能把建议列为已执行稳健性结论。</w:t>
      </w:r>
    </w:p>
    <w:p>
      <w:pPr>
        <w:pStyle w:val="Heading1"/>
        <w:spacing w:before="20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10 结论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文针对B题三种交通情景，构建了基于百度官方GIS、可回溯方向图、SUMO内部反演和同条件控制对照的一体化研究系统。规范化两处重复采样后，研究路网含305条外部有向分段与308个允许转向；100次路况和160条有效ETA构成有限观测基础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一般交通模型通过低维仿真循环实际计算221个候选，30秒需求档获得最小训练目标，四OD直接时间误差均在工程筛选范围内；60秒档也通过，真实需求因而仍不唯一。跨日MAE为206.29秒，未优于简单训练中位基准，模型的时间泛化仍有限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有来源的完整事件范围与速度倍率下，44组治理全部完成且物理检查通过。A因共同必经段与绕行成本未换路；通过训练筛选的B情景中，任务时间未缩短，普通总成本均增加。当前模型支持说明这些策略的适用边界，未支持宣称其普遍改善交通。参数来源分级、内部状态与时间的一致性检查、解析换路阈值和完整逐车成本构成本文的主要方法贡献。</w:t>
      </w:r>
    </w:p>
    <w:p>
      <w:pPr>
        <w:pStyle w:val="Heading1"/>
        <w:spacing w:before="20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参考文献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[1] 全国大学生仿真建模应用挑战赛组委会，2026年第二届全国大学生仿真建模应用挑战赛B题：嵌入GIS数据的智慧交通数字孪生建模与治理仿真，赛题文件，第1—5页，2026。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[2] 百度地图开放平台，驾车路线规划（轻量级路线规划），百度地图开放平台官方文档，访问日期：2026-10-18。</w:t>
      </w:r>
      <w:hyperlink r:id="rId14">
        <w:r>
          <w:rPr>
            <w:rFonts w:ascii="Times New Roman" w:hAnsi="Times New Roman" w:eastAsia="宋体"/>
            <w:sz w:val="24"/>
          </w:rPr>
          <w:t xml:space="preserve"> 在线原文：lbsyun.baidu.com</w:t>
        </w:r>
      </w:hyperlink>
    </w:p>
    <w:p>
      <w:r>
        <w:rPr>
          <w:rFonts w:ascii="Times New Roman" w:hAnsi="Times New Roman" w:eastAsia="宋体"/>
          <w:b w:val="0"/>
          <w:color w:val="000000"/>
          <w:sz w:val="24"/>
        </w:rPr>
        <w:t>[3] 百度地图开放平台，实时路况：矩形区域查询，百度地图开放平台官方文档，访问日期：2026-10-18。</w:t>
      </w:r>
      <w:hyperlink r:id="rId15">
        <w:r>
          <w:rPr>
            <w:rFonts w:ascii="Times New Roman" w:hAnsi="Times New Roman" w:eastAsia="宋体"/>
            <w:sz w:val="24"/>
          </w:rPr>
          <w:t xml:space="preserve"> 在线原文：lbsyun.baidu.com</w:t>
        </w:r>
      </w:hyperlink>
    </w:p>
    <w:p>
      <w:r>
        <w:rPr>
          <w:rFonts w:ascii="Times New Roman" w:hAnsi="Times New Roman" w:eastAsia="宋体"/>
          <w:b w:val="0"/>
          <w:color w:val="000000"/>
          <w:sz w:val="24"/>
        </w:rPr>
        <w:t>[4] 上海交通大学医学院附属瑞金医院，上海交通大学医学院附属瑞金医院消化道肿瘤临床诊疗中心项目（调整）环境影响报告，上海市黄浦区政府公示，PDF第107、110、168页（正文第103、106、164页），访问日期：2026-10-18。</w:t>
      </w:r>
      <w:hyperlink r:id="rId16">
        <w:r>
          <w:rPr>
            <w:rFonts w:ascii="Times New Roman" w:hAnsi="Times New Roman" w:eastAsia="宋体"/>
            <w:sz w:val="24"/>
          </w:rPr>
          <w:t xml:space="preserve"> 在线原文：www.shhuangpu.gov.cn</w:t>
        </w:r>
      </w:hyperlink>
    </w:p>
    <w:p>
      <w:r>
        <w:rPr>
          <w:rFonts w:ascii="Times New Roman" w:hAnsi="Times New Roman" w:eastAsia="宋体"/>
          <w:b w:val="0"/>
          <w:color w:val="000000"/>
          <w:sz w:val="24"/>
        </w:rPr>
        <w:t>[5] Eclipse SUMO，PlainXML，SUMO官方文档，访问日期：2026-10-18。</w:t>
      </w:r>
      <w:hyperlink r:id="rId17">
        <w:r>
          <w:rPr>
            <w:rFonts w:ascii="Times New Roman" w:hAnsi="Times New Roman" w:eastAsia="宋体"/>
            <w:sz w:val="24"/>
          </w:rPr>
          <w:t xml:space="preserve"> 在线原文：sumo.dlr.de</w:t>
        </w:r>
      </w:hyperlink>
    </w:p>
    <w:p>
      <w:r>
        <w:rPr>
          <w:rFonts w:ascii="Times New Roman" w:hAnsi="Times New Roman" w:eastAsia="宋体"/>
          <w:b w:val="0"/>
          <w:color w:val="000000"/>
          <w:sz w:val="24"/>
        </w:rPr>
        <w:t>[6] Eclipse SUMO，Definition of Vehicles, Vehicle Types, and Routes，SUMO官方文档，访问日期：2026-10-18。</w:t>
      </w:r>
      <w:hyperlink r:id="rId18">
        <w:r>
          <w:rPr>
            <w:rFonts w:ascii="Times New Roman" w:hAnsi="Times New Roman" w:eastAsia="宋体"/>
            <w:sz w:val="24"/>
          </w:rPr>
          <w:t xml:space="preserve"> 在线原文：sumo.dlr.de</w:t>
        </w:r>
      </w:hyperlink>
    </w:p>
    <w:p>
      <w:r>
        <w:rPr>
          <w:rFonts w:ascii="Times New Roman" w:hAnsi="Times New Roman" w:eastAsia="宋体"/>
          <w:b w:val="0"/>
          <w:color w:val="000000"/>
          <w:sz w:val="24"/>
        </w:rPr>
        <w:t>[7] Eclipse SUMO，San Pablo Dam Calibration Tutorial，SUMO官方文档，访问日期：2026-10-18。</w:t>
      </w:r>
      <w:hyperlink r:id="rId19">
        <w:r>
          <w:rPr>
            <w:rFonts w:ascii="Times New Roman" w:hAnsi="Times New Roman" w:eastAsia="宋体"/>
            <w:sz w:val="24"/>
          </w:rPr>
          <w:t xml:space="preserve"> 在线原文：sumo.dlr.de</w:t>
        </w:r>
      </w:hyperlink>
    </w:p>
    <w:p>
      <w:r>
        <w:rPr>
          <w:rFonts w:ascii="Times New Roman" w:hAnsi="Times New Roman" w:eastAsia="宋体"/>
          <w:b w:val="0"/>
          <w:color w:val="000000"/>
          <w:sz w:val="24"/>
        </w:rPr>
        <w:t>[8] aonurakman，demandify：基于SUMO的交通需求估计项目，作者代码仓库，访问日期：2026-10-18。</w:t>
      </w:r>
      <w:hyperlink r:id="rId20">
        <w:r>
          <w:rPr>
            <w:rFonts w:ascii="Times New Roman" w:hAnsi="Times New Roman" w:eastAsia="宋体"/>
            <w:sz w:val="24"/>
          </w:rPr>
          <w:t xml:space="preserve"> 在线原文：github.com</w:t>
        </w:r>
      </w:hyperlink>
    </w:p>
    <w:p>
      <w:r>
        <w:rPr>
          <w:rFonts w:ascii="Times New Roman" w:hAnsi="Times New Roman" w:eastAsia="宋体"/>
          <w:b w:val="0"/>
          <w:color w:val="000000"/>
          <w:sz w:val="24"/>
        </w:rPr>
        <w:t>[9] Federal Highway Administration，Traffic Analysis Toolbox Volume III: Guidelines for Applying Traffic Microsimulation Modeling Software，Chapter 5: Calibration，2019，访问日期：2026-10-18。</w:t>
      </w:r>
      <w:hyperlink r:id="rId21">
        <w:r>
          <w:rPr>
            <w:rFonts w:ascii="Times New Roman" w:hAnsi="Times New Roman" w:eastAsia="宋体"/>
            <w:sz w:val="24"/>
          </w:rPr>
          <w:t xml:space="preserve"> 在线原文：ops.fhwa.dot.gov</w:t>
        </w:r>
      </w:hyperlink>
    </w:p>
    <w:p>
      <w:r>
        <w:rPr>
          <w:rFonts w:ascii="Times New Roman" w:hAnsi="Times New Roman" w:eastAsia="宋体"/>
          <w:b w:val="0"/>
          <w:color w:val="000000"/>
          <w:sz w:val="24"/>
        </w:rPr>
        <w:t>[10] Eclipse SUMO，Summary Output，SUMO官方文档，访问日期：2026-10-18。</w:t>
      </w:r>
      <w:hyperlink r:id="rId22">
        <w:r>
          <w:rPr>
            <w:rFonts w:ascii="Times New Roman" w:hAnsi="Times New Roman" w:eastAsia="宋体"/>
            <w:sz w:val="24"/>
          </w:rPr>
          <w:t xml:space="preserve"> 在线原文：sumo.dlr.de</w:t>
        </w:r>
      </w:hyperlink>
    </w:p>
    <w:p>
      <w:r>
        <w:rPr>
          <w:rFonts w:ascii="Times New Roman" w:hAnsi="Times New Roman" w:eastAsia="宋体"/>
          <w:b w:val="0"/>
          <w:color w:val="000000"/>
          <w:sz w:val="24"/>
        </w:rPr>
        <w:t>[11] Eclipse SUMO，Lane- or Edge-based Traffic Measures，SUMO官方文档，访问日期：2026-10-18。</w:t>
      </w:r>
      <w:hyperlink r:id="rId23">
        <w:r>
          <w:rPr>
            <w:rFonts w:ascii="Times New Roman" w:hAnsi="Times New Roman" w:eastAsia="宋体"/>
            <w:sz w:val="24"/>
          </w:rPr>
          <w:t xml:space="preserve"> 在线原文：sumo.dlr.de</w:t>
        </w:r>
      </w:hyperlink>
    </w:p>
    <w:p>
      <w:r>
        <w:rPr>
          <w:rFonts w:ascii="Times New Roman" w:hAnsi="Times New Roman" w:eastAsia="宋体"/>
          <w:b w:val="0"/>
          <w:color w:val="000000"/>
          <w:sz w:val="24"/>
        </w:rPr>
        <w:t>[12] Eclipse SUMO，Variable Speed Signs，SUMO官方文档，访问日期：2026-10-18。</w:t>
      </w:r>
      <w:hyperlink r:id="rId24">
        <w:r>
          <w:rPr>
            <w:rFonts w:ascii="Times New Roman" w:hAnsi="Times New Roman" w:eastAsia="宋体"/>
            <w:sz w:val="24"/>
          </w:rPr>
          <w:t xml:space="preserve"> 在线原文：eclipse.dev</w:t>
        </w:r>
      </w:hyperlink>
    </w:p>
    <w:p>
      <w:r>
        <w:rPr>
          <w:rFonts w:ascii="Times New Roman" w:hAnsi="Times New Roman" w:eastAsia="宋体"/>
          <w:b w:val="0"/>
          <w:color w:val="000000"/>
          <w:sz w:val="24"/>
        </w:rPr>
        <w:t>[13] Eclipse SUMO，TraCI: Change Vehicle State，SUMO官方文档，访问日期：2026-10-18。</w:t>
      </w:r>
      <w:hyperlink r:id="rId25">
        <w:r>
          <w:rPr>
            <w:rFonts w:ascii="Times New Roman" w:hAnsi="Times New Roman" w:eastAsia="宋体"/>
            <w:sz w:val="24"/>
          </w:rPr>
          <w:t xml:space="preserve"> 在线原文：eclipse.dev</w:t>
        </w:r>
      </w:hyperlink>
    </w:p>
    <w:p>
      <w:r>
        <w:rPr>
          <w:rFonts w:ascii="Times New Roman" w:hAnsi="Times New Roman" w:eastAsia="宋体"/>
          <w:b w:val="0"/>
          <w:color w:val="000000"/>
          <w:sz w:val="24"/>
        </w:rPr>
        <w:t>[14] Eclipse SUMO，FCDOutput，SUMO官方文档，访问日期：2026-10-18。</w:t>
      </w:r>
      <w:hyperlink r:id="rId26">
        <w:r>
          <w:rPr>
            <w:rFonts w:ascii="Times New Roman" w:hAnsi="Times New Roman" w:eastAsia="宋体"/>
            <w:sz w:val="24"/>
          </w:rPr>
          <w:t xml:space="preserve"> 在线原文：eclipse.dev</w:t>
        </w:r>
      </w:hyperlink>
    </w:p>
    <w:p>
      <w:r>
        <w:rPr>
          <w:rFonts w:ascii="Times New Roman" w:hAnsi="Times New Roman" w:eastAsia="宋体"/>
          <w:b w:val="0"/>
          <w:color w:val="000000"/>
          <w:sz w:val="24"/>
        </w:rPr>
        <w:t>[15] Zhao J., Ma R., Wang M.，High-precision vehicle trajectory data from an intersection in Shanghai: A unique dataset for microscopic traffic flow studies collected by drone and GNSS receiver，Data in Brief，57：110864，2024，DOI:10.1016/j.dib.2024.110864。</w:t>
      </w:r>
      <w:hyperlink r:id="rId27">
        <w:r>
          <w:rPr>
            <w:rFonts w:ascii="Times New Roman" w:hAnsi="Times New Roman" w:eastAsia="宋体"/>
            <w:sz w:val="24"/>
          </w:rPr>
          <w:t xml:space="preserve"> 在线原文：pmc.ncbi.nlm.nih.gov</w:t>
        </w:r>
      </w:hyperlink>
    </w:p>
    <w:p>
      <w:r>
        <w:rPr>
          <w:rFonts w:ascii="Times New Roman" w:hAnsi="Times New Roman" w:eastAsia="宋体"/>
          <w:b w:val="0"/>
          <w:color w:val="000000"/>
          <w:sz w:val="24"/>
        </w:rPr>
        <w:t>[16] Ma R., Zhao J., Wang M.，A high-precision vehicle trajectory dataset in Shanghai，Mendeley Data，Version 1，2024，DOI:10.17632/yx7sy7frnh.1，访问日期：2026-10-18。</w:t>
      </w:r>
      <w:hyperlink r:id="rId28">
        <w:r>
          <w:rPr>
            <w:rFonts w:ascii="Times New Roman" w:hAnsi="Times New Roman" w:eastAsia="宋体"/>
            <w:sz w:val="24"/>
          </w:rPr>
          <w:t xml:space="preserve"> 在线原文：data.mendeley.com</w:t>
        </w:r>
      </w:hyperlink>
    </w:p>
    <w:p>
      <w:r>
        <w:rPr>
          <w:rFonts w:ascii="Times New Roman" w:hAnsi="Times New Roman" w:eastAsia="宋体"/>
          <w:b w:val="0"/>
          <w:color w:val="000000"/>
          <w:sz w:val="24"/>
        </w:rPr>
        <w:t>[17] OpenAI Codex，具体模型快照与版本发布日期未提供，OpenAI，使用日期：2026-10-17至2026-10-18。</w:t>
      </w:r>
    </w:p>
    <w:p>
      <w:pPr>
        <w:pStyle w:val="Heading1"/>
        <w:spacing w:before="20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AI工具使用声明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本研究使用OpenAI Codex辅助[17]，应用于数据质量审查、公开来源整理、路网修正、模型与算法设计、程序实现、参数搜索、实验编排、结果解释、图表和论文初稿。具体模型快照及发布日期未获得可核查信息，不编造版本。本文各相关章节已标注贡献，详细使用目的、关键脱敏交互、采纳内容和人工修改情况另列《AI工具使用详情说明》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百度原始响应、公开环评资料及SUMO实际输出分别保留来源，AI未生成原始实测记录。当前稿不声称参赛队员已经独立完成核心建模、仿真实现与分析，也不把自动交叉审查当作人工复核。参赛队须依据赛方规定完成必要的独立工作和实质修订，并如实补充人工修改记录后决定提交。该声明描述实际使用情况，不将AI辅助程度自动视为已满足竞赛规定。</w:t>
      </w:r>
    </w:p>
    <w:p>
      <w:pPr>
        <w:pStyle w:val="Heading1"/>
        <w:spacing w:before="20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28"/>
        </w:rPr>
        <w:t>附录A 支撑材料目录与结果索引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下列目录列出本文V2研究对应的复现材料。V2支撑包B_support_v2.zip按SUPPORT_MANIFEST.json清单收录脚本、脱敏原始数据、必要小结果、图示所用两组FCD、只读页面和AI说明，不捆绑工具环境；完整运行XML保留工作区并可重建。环评原文较大，由参考文献链接、摘录与文件摘要定位。正式提交须核对论文、视频和支撑包版本一致，历史V1视频不代表本文结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文件或目录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内容与对应章节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config/inverse_estimation_v2.json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需求、内部搜索、筛选与计时协议；第4章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data/raw/baidu/正式四会话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脱敏原始响应、请求/接收记录；第2章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data/processed/identification_v2/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160路线、600步骤、统计与来源清单；第2、4章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data/processed/baidu/route_catalog_v2.json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305边、308转向及完整候选；第3章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data/processed/baidu/route_catalog_v2_mapping.json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原边到规范链及几何核查；第3章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research/parameter_audit/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48项参数、26来源、本地计数、事件依据；第2、6章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scripts/prepare_observations_v2.py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原始观测结构化与去重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scripts/normalize_network_v2.py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两处同向重复采样归并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scripts/sumo_inverse_engine.py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实际SUMO运行、探针和状态提取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scripts/calibrate_inverse_v2.py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标定、候选记录与留出评价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scripts/run_governance_v2.py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44组治理与同条件配对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outputs/identification_v2/calibration/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221候选、入选解、评价、条件状态；第4、5章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outputs/governance_v2/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全44组汇总、32配对、逐车损益、路径阈值；第6、7章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outputs/quality/v2_*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测试、独立复算、方法审查与摘要核验；第8章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project_v2.py、outputs/revision_v2/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只读Python入口与冻结结果说明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manuscript/v2/及论文构建脚本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本文来源文本、文献、图表与导出记录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outputs/paper_v2/ai_usage.pdf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工具、环节、脱敏交互、实际人工修改记录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color w:val="000000"/>
          <w:sz w:val="24"/>
        </w:rPr>
        <w:t>全44组结果按需求h∈{60,30,18,15}分层，每层依次包含S1及两档事件下的S2固定/A、S3固定/A/B。读取时须同时核对“物理完整”与“通过训练筛选”，后者为否的运行仅作诊断；不得从单一字段或历史版本提取正收益。完整参数和逐车数据由上述索引定位，避免正文表格四舍五入影响复算。</w:t>
      </w:r>
    </w:p>
    <w:sectPr w:rsidR="00FC693F" w:rsidRPr="0006063C" w:rsidSect="00034616">
      <w:footerReference w:type="default" r:id="rId9"/>
      <w:pgSz w:w="11906" w:h="16838"/>
      <w:pgMar w:top="1304" w:right="1361" w:bottom="1191" w:left="1361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lbsyun.baidu.com/docs/webapi?title=directionlite/guide/webservice-lwrouteplanapi/dirve" TargetMode="External"/><Relationship Id="rId15" Type="http://schemas.openxmlformats.org/officeDocument/2006/relationships/hyperlink" Target="https://lbsyun.baidu.com/docs/webapi?title=traffic/traffic-rectangleseek" TargetMode="External"/><Relationship Id="rId16" Type="http://schemas.openxmlformats.org/officeDocument/2006/relationships/hyperlink" Target="https://www.shhuangpu.gov.cn/uploadfile/48BB468164614FAD9F87540DE160C173_%E6%9C%80%E7%BB%88%E7%89%88%E7%8E%AF%E8%AF%84%E6%8A%A5%E5%91%8A%E5%85%AC%E7%A4%BA%E7%89%88_1.pdf" TargetMode="External"/><Relationship Id="rId17" Type="http://schemas.openxmlformats.org/officeDocument/2006/relationships/hyperlink" Target="https://sumo.dlr.de/docs/Networks/PlainXML.html" TargetMode="External"/><Relationship Id="rId18" Type="http://schemas.openxmlformats.org/officeDocument/2006/relationships/hyperlink" Target="https://sumo.dlr.de/docs/Definition_of_Vehicles%2C_Vehicle_Types%2C_and_Routes.html" TargetMode="External"/><Relationship Id="rId19" Type="http://schemas.openxmlformats.org/officeDocument/2006/relationships/hyperlink" Target="https://sumo.dlr.de/docs/Tutorials/Calibration/San_Pablo_Dam.html" TargetMode="External"/><Relationship Id="rId20" Type="http://schemas.openxmlformats.org/officeDocument/2006/relationships/hyperlink" Target="https://github.com/aonurakman/demandify" TargetMode="External"/><Relationship Id="rId21" Type="http://schemas.openxmlformats.org/officeDocument/2006/relationships/hyperlink" Target="https://ops.fhwa.dot.gov/publications/fhwahop18036/chapter5.htm" TargetMode="External"/><Relationship Id="rId22" Type="http://schemas.openxmlformats.org/officeDocument/2006/relationships/hyperlink" Target="https://sumo.dlr.de/docs/Simulation/Output/Summary.html" TargetMode="External"/><Relationship Id="rId23" Type="http://schemas.openxmlformats.org/officeDocument/2006/relationships/hyperlink" Target="https://sumo.dlr.de/docs/Simulation/Output/Lane-_or_Edge-based_Traffic_Measures.html" TargetMode="External"/><Relationship Id="rId24" Type="http://schemas.openxmlformats.org/officeDocument/2006/relationships/hyperlink" Target="https://eclipse.dev/sumo/docs/Simulation/Variable_Speed_Signs.html" TargetMode="External"/><Relationship Id="rId25" Type="http://schemas.openxmlformats.org/officeDocument/2006/relationships/hyperlink" Target="https://eclipse.dev/sumo/docs/TraCI/Change_Vehicle_State.html" TargetMode="External"/><Relationship Id="rId26" Type="http://schemas.openxmlformats.org/officeDocument/2006/relationships/hyperlink" Target="https://eclipse.dev/sumo/docs/Simulation/Output/FCDOutput.html" TargetMode="External"/><Relationship Id="rId27" Type="http://schemas.openxmlformats.org/officeDocument/2006/relationships/hyperlink" Target="https://pmc.ncbi.nlm.nih.gov/articles/PMC11404071/" TargetMode="External"/><Relationship Id="rId28" Type="http://schemas.openxmlformats.org/officeDocument/2006/relationships/hyperlink" Target="https://data.mendeley.com/datasets/yx7sy7frnh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观测约束下的街区交通数字孪生标定与治理适用边界研究</dc:title>
  <dc:subject>匿名研究稿</dc:subject>
  <dc:creator/>
  <cp:keywords>交通数字孪生;GIS;路径治理;应急协同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