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September   5, 2023 (05:12:39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help you develop good lab habits,</w:t>
      </w:r>
    </w:p>
    <w:p>
      <w:pPr>
        <w:numPr>
          <w:ilvl w:val="0"/>
          <w:numId w:val="1001"/>
        </w:numPr>
        <w:pStyle w:val="Compact"/>
      </w:pPr>
      <w:r>
        <w:t xml:space="preserve">To declare, assign, and display variables of different datatypes,</w:t>
      </w:r>
    </w:p>
    <w:p>
      <w:pPr>
        <w:numPr>
          <w:ilvl w:val="0"/>
          <w:numId w:val="1001"/>
        </w:numPr>
        <w:pStyle w:val="Compact"/>
      </w:pPr>
      <w:r>
        <w:t xml:space="preserve">To understand how to use arithmetic operators,</w:t>
      </w:r>
    </w:p>
    <w:p>
      <w:pPr>
        <w:numPr>
          <w:ilvl w:val="0"/>
          <w:numId w:val="1001"/>
        </w:numPr>
        <w:pStyle w:val="Compact"/>
      </w:pPr>
      <w:r>
        <w:t xml:space="preserve">To experience the differences in numerical datatypes,</w:t>
      </w:r>
    </w:p>
    <w:p>
      <w:pPr>
        <w:numPr>
          <w:ilvl w:val="0"/>
          <w:numId w:val="1001"/>
        </w:numPr>
        <w:pStyle w:val="Compact"/>
      </w:pPr>
      <w:r>
        <w:t xml:space="preserve">To learn how to</w:t>
      </w:r>
      <w:r>
        <w:t xml:space="preserve"> </w:t>
      </w:r>
      <w:r>
        <w:t xml:space="preserve">“</w:t>
      </w:r>
      <w:r>
        <w:t xml:space="preserve">cast</w:t>
      </w:r>
      <w:r>
        <w:t xml:space="preserve">”</w:t>
      </w:r>
      <w:r>
        <w:t xml:space="preserve"> </w:t>
      </w:r>
      <w:r>
        <w:t xml:space="preserve">between numerical datatypes,</w:t>
      </w:r>
    </w:p>
    <w:p>
      <w:pPr>
        <w:numPr>
          <w:ilvl w:val="0"/>
          <w:numId w:val="1001"/>
        </w:numPr>
        <w:pStyle w:val="Compact"/>
      </w:pPr>
      <w:r>
        <w:t xml:space="preserve">To understand what types of operations are</w:t>
      </w:r>
      <w:r>
        <w:t xml:space="preserve"> </w:t>
      </w:r>
      <w:r>
        <w:t xml:space="preserve">“</w:t>
      </w:r>
      <w:r>
        <w:t xml:space="preserve">legal</w:t>
      </w:r>
      <w:r>
        <w:t xml:space="preserve">”</w:t>
      </w:r>
      <w:r>
        <w:t xml:space="preserve">.</w:t>
      </w:r>
    </w:p>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there are numerous references at the bottom of the cheatsheat.</w:t>
      </w:r>
      <w:r>
        <w:t xml:space="preserve"> </w:t>
      </w:r>
      <w:r>
        <w:t xml:space="preserve">You are encouraged to open those links and have a look at the official documentation, if you have not already done so. Being able to reference the official documentation will help you in your studies.</w:t>
      </w:r>
    </w:p>
    <w:bookmarkStart w:id="22" w:name="literals-and-variables"/>
    <w:p>
      <w:pPr>
        <w:pStyle w:val="Heading2"/>
      </w:pPr>
      <w:r>
        <w:t xml:space="preserve">Literals and Variables</w:t>
      </w:r>
    </w:p>
    <w:p>
      <w:pPr>
        <w:pStyle w:val="FirstParagraph"/>
      </w:pPr>
      <w:r>
        <w:rPr>
          <w:iCs/>
          <w:i/>
        </w:rPr>
        <w:t xml:space="preserve">This part should first be attempted using pen and paper before using an IDE.</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2"/>
        </w:numPr>
        <w:pStyle w:val="Compact"/>
      </w:pPr>
      <w:r>
        <w:t xml:space="preserve">How many variables are declared?</w:t>
      </w:r>
    </w:p>
    <w:p>
      <w:pPr>
        <w:numPr>
          <w:ilvl w:val="0"/>
          <w:numId w:val="1002"/>
        </w:numPr>
        <w:pStyle w:val="Compact"/>
      </w:pPr>
      <w:r>
        <w:t xml:space="preserve">For each of those variables, give their name, datatype, and value.</w:t>
      </w:r>
    </w:p>
    <w:p>
      <w:pPr>
        <w:pStyle w:val="FirstParagraph"/>
      </w:pPr>
      <w:r>
        <w:t xml:space="preserve">Solution:</w:t>
      </w:r>
    </w:p>
    <w:p>
      <w:pPr>
        <w:pStyle w:val="BodyText"/>
      </w:pPr>
      <w:r>
        <w:t xml:space="preserve">There are 5 variables.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Name</w:t>
            </w:r>
          </w:p>
        </w:tc>
        <w:tc>
          <w:tcPr/>
          <w:p>
            <w:pPr>
              <w:pStyle w:val="Compact"/>
              <w:jc w:val="left"/>
            </w:pPr>
            <w:r>
              <w:t xml:space="preserve">Datatype</w:t>
            </w:r>
          </w:p>
        </w:tc>
        <w:tc>
          <w:tcPr/>
          <w:p>
            <w:pPr>
              <w:pStyle w:val="Compact"/>
              <w:jc w:val="left"/>
            </w:pPr>
            <w:r>
              <w:t xml:space="preserve">Value</w:t>
            </w:r>
          </w:p>
        </w:tc>
      </w:tr>
      <w:tr>
        <w:tc>
          <w:tcPr/>
          <w:p>
            <w:pPr>
              <w:pStyle w:val="Compact"/>
              <w:jc w:val="left"/>
            </w:pPr>
            <w:r>
              <w:rPr>
                <w:rStyle w:val="NormalTok"/>
              </w:rPr>
              <w:t xml:space="preserve">a</w:t>
            </w:r>
          </w:p>
        </w:tc>
        <w:tc>
          <w:tcPr/>
          <w:p>
            <w:pPr>
              <w:pStyle w:val="Compact"/>
              <w:jc w:val="left"/>
            </w:pPr>
            <w:r>
              <w:rPr>
                <w:rStyle w:val="DataTypeTok"/>
              </w:rPr>
              <w:t xml:space="preserve">int</w:t>
            </w:r>
          </w:p>
        </w:tc>
        <w:tc>
          <w:tcPr/>
          <w:p>
            <w:pPr>
              <w:pStyle w:val="Compact"/>
              <w:jc w:val="left"/>
            </w:pPr>
            <w:r>
              <w:t xml:space="preserve">21</w:t>
            </w:r>
          </w:p>
        </w:tc>
      </w:tr>
      <w:tr>
        <w:tc>
          <w:tcPr/>
          <w:p>
            <w:pPr>
              <w:pStyle w:val="Compact"/>
              <w:jc w:val="left"/>
            </w:pPr>
            <w:r>
              <w:rPr>
                <w:rStyle w:val="NormalTok"/>
              </w:rPr>
              <w:t xml:space="preserve">b</w:t>
            </w:r>
          </w:p>
        </w:tc>
        <w:tc>
          <w:tcPr/>
          <w:p>
            <w:pPr>
              <w:pStyle w:val="Compact"/>
              <w:jc w:val="left"/>
            </w:pPr>
            <w:r>
              <w:rPr>
                <w:rStyle w:val="DataTypeTok"/>
              </w:rPr>
              <w:t xml:space="preserve">int</w:t>
            </w:r>
          </w:p>
        </w:tc>
        <w:tc>
          <w:tcPr/>
          <w:p>
            <w:pPr>
              <w:pStyle w:val="Compact"/>
              <w:jc w:val="left"/>
            </w:pPr>
            <w:r>
              <w:t xml:space="preserve">4</w:t>
            </w:r>
          </w:p>
        </w:tc>
      </w:tr>
      <w:tr>
        <w:tc>
          <w:tcPr/>
          <w:p>
            <w:pPr>
              <w:pStyle w:val="Compact"/>
              <w:jc w:val="left"/>
            </w:pPr>
            <w:r>
              <w:rPr>
                <w:rStyle w:val="NormalTok"/>
              </w:rPr>
              <w:t xml:space="preserve">f</w:t>
            </w:r>
          </w:p>
        </w:tc>
        <w:tc>
          <w:tcPr/>
          <w:p>
            <w:pPr>
              <w:pStyle w:val="Compact"/>
              <w:jc w:val="left"/>
            </w:pPr>
            <w:r>
              <w:rPr>
                <w:rStyle w:val="DataTypeTok"/>
              </w:rPr>
              <w:t xml:space="preserve">float</w:t>
            </w:r>
          </w:p>
        </w:tc>
        <w:tc>
          <w:tcPr/>
          <w:p>
            <w:pPr>
              <w:pStyle w:val="Compact"/>
              <w:jc w:val="left"/>
            </w:pPr>
            <w:r>
              <w:t xml:space="preserve">2.5000000</w:t>
            </w:r>
          </w:p>
        </w:tc>
      </w:tr>
      <w:tr>
        <w:tc>
          <w:tcPr/>
          <w:p>
            <w:pPr>
              <w:pStyle w:val="Compact"/>
              <w:jc w:val="left"/>
            </w:pPr>
            <w:r>
              <w:rPr>
                <w:rStyle w:val="NormalTok"/>
              </w:rPr>
              <w:t xml:space="preserve">d</w:t>
            </w:r>
          </w:p>
        </w:tc>
        <w:tc>
          <w:tcPr/>
          <w:p>
            <w:pPr>
              <w:pStyle w:val="Compact"/>
              <w:jc w:val="left"/>
            </w:pPr>
            <w:r>
              <w:rPr>
                <w:rStyle w:val="DataTypeTok"/>
              </w:rPr>
              <w:t xml:space="preserve">double</w:t>
            </w:r>
          </w:p>
        </w:tc>
        <w:tc>
          <w:tcPr/>
          <w:p>
            <w:pPr>
              <w:pStyle w:val="Compact"/>
              <w:jc w:val="left"/>
            </w:pPr>
            <w:r>
              <w:t xml:space="preserve">-1.3</w:t>
            </w:r>
          </w:p>
        </w:tc>
      </w:tr>
      <w:tr>
        <w:tc>
          <w:tcPr/>
          <w:p>
            <w:pPr>
              <w:pStyle w:val="Compact"/>
              <w:jc w:val="left"/>
            </w:pPr>
            <w:r>
              <w:rPr>
                <w:rStyle w:val="NormalTok"/>
              </w:rPr>
              <w:t xml:space="preserve">m</w:t>
            </w:r>
          </w:p>
        </w:tc>
        <w:tc>
          <w:tcPr/>
          <w:p>
            <w:pPr>
              <w:pStyle w:val="Compact"/>
              <w:jc w:val="left"/>
            </w:pPr>
            <w:r>
              <w:rPr>
                <w:rStyle w:val="DataTypeTok"/>
              </w:rPr>
              <w:t xml:space="preserve">decimal</w:t>
            </w:r>
          </w:p>
        </w:tc>
        <w:tc>
          <w:tcPr/>
          <w:p>
            <w:pPr>
              <w:pStyle w:val="Compact"/>
              <w:jc w:val="left"/>
            </w:pPr>
            <w:r>
              <w:t xml:space="preserve">2.5</w:t>
            </w:r>
          </w:p>
        </w:tc>
      </w:tr>
    </w:tbl>
    <w:bookmarkEnd w:id="22"/>
    <w:bookmarkStart w:id="23" w:name="operations"/>
    <w:p>
      <w:pPr>
        <w:pStyle w:val="Heading2"/>
      </w:pPr>
      <w:r>
        <w:t xml:space="preserve">Operations</w:t>
      </w:r>
    </w:p>
    <w:p>
      <w:pPr>
        <w:pStyle w:val="FirstParagraph"/>
      </w:pPr>
      <w:r>
        <w:t xml:space="preserve">Consider the following expressions, all of which use the variables we declared above. For each of them, decide if they are legal, and if so, determine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statement</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has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would be attempting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 and then cutting it with laser precision; that is what storing a</w:t>
      </w:r>
      <w:r>
        <w:t xml:space="preserve"> </w:t>
      </w:r>
      <w:r>
        <w:rPr>
          <w:rStyle w:val="DataTypeTok"/>
        </w:rPr>
        <w:t xml:space="preserve">float</w:t>
      </w:r>
      <w:r>
        <w:t xml:space="preserve"> </w:t>
      </w:r>
      <w:r>
        <w:t xml:space="preserve">as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1" Target="labs/Casting/../../datatypes_in_csharp.html"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1" Target="labs/Casting/../../datatypes_in_cshar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2023-09-05T21:13:03Z</dcterms:created>
  <dcterms:modified xsi:type="dcterms:W3CDTF">2023-09-05T21:13:03Z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5, 2023 (05:12:39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