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2545"/>
          <w:sz w:val="36"/>
        </w:rPr>
        <w:t>十二字病理下的常见症状归属整理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17"/>
        </w:rPr>
        <w:t>依据 D:\AI\demo\tcm_rag_demo\data 内胡希恕、李冠杰讲稿、药物集萃、方剂思维导图与医案资料整理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整理原则：</w:t>
            </w:r>
            <w:r>
              <w:rPr>
                <w:rFonts w:ascii="微软雅黑" w:hAnsi="微软雅黑" w:eastAsia="微软雅黑"/>
                <w:b w:val="0"/>
                <w:sz w:val="18"/>
              </w:rPr>
              <w:t>一个症状不固定归属一个病理。这里采用“病理核心 + 主症 + 兼症 + 鉴别”的方式整理，尤其注意半表/里热/半热、水实/津虚、气实/水实、血虚/血实之间的交叉。</w:t>
            </w:r>
          </w:p>
        </w:tc>
      </w:tr>
    </w:tbl>
    <w:p>
      <w:pPr>
        <w:pStyle w:val="Heading1"/>
      </w:pPr>
      <w:r>
        <w:t>一、十二字病理症状总表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907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病理</w:t>
            </w:r>
          </w:p>
        </w:tc>
        <w:tc>
          <w:tcPr>
            <w:tcW w:type="dxa" w:w="283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核心理解</w:t>
            </w:r>
          </w:p>
        </w:tc>
        <w:tc>
          <w:tcPr>
            <w:tcW w:type="dxa" w:w="362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常见主症</w:t>
            </w:r>
          </w:p>
        </w:tc>
        <w:tc>
          <w:tcPr>
            <w:tcW w:type="dxa" w:w="29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可兼见症状</w:t>
            </w:r>
          </w:p>
        </w:tc>
        <w:tc>
          <w:tcPr>
            <w:tcW w:type="dxa" w:w="4081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鉴别要点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半表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人体想从表解、从外排邪或恢复肌表功能；原资料多写作表证、表实、表虚。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恶寒、恶风、发热、头项强痛、身疼痛、脉浮、鼻塞、喷嚏、皮肤痒、关节疼、表证咳喘。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汗出、无汗、气上冲、呕逆、身重、浮肿、小便不利、鼻炎反复。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半表不是体表局部病，而是患病后呈现出的症状反应。表虚多汗出恶风、脉缓；表实多无汗、身疼、脉浮紧。若同时有痰饮浮肿、小便不利，要合看水实。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半热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半表半里或孔窍、胸胁、情志层面的热郁；常与少阳、咽口鼻耳目、烦躁睡眠相关。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口苦、咽干、目眩、胸胁苦满、往来寒热、心烦、易怒、多梦易醒、口腔溃疡、牙疼、咽炎、鼻炎、黄涕脓涕、目赤。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恶心欲吐、食少、耳鸣、盗汗、子时发作、咳嗽痰黄、皮肤疮疡、妇科带下阴痒伴热象。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半热和里热都可见热象。半热更偏胸胁、孔窍、节律、情志和往来寒热；里热更偏全身实热、口渴、大汗、大便干、舌红苔黄。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半虚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半表半里层面的虚性不安、收敛不足或神志不宁；常需龙骨、牡蛎、柏子仁、山萸肉等线索帮助判断。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虚烦、惊悸、心悸、失眠、多梦、精神恍惚、易惊、烦躁而虚、盗汗、自汗、遗精、遗尿。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头晕、耳鸣、腰膝酸软、汗出不止、虚性亢奋、久病后心神不安。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半虚不是单纯里虚。里虚偏胃气与中焦功能弱；半虚偏神志、收敛、节律和虚性躁动。若有热烦，常与半热并见。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里热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里部热盛或热结，热刺激强，常压过恶寒反应，表现为恶热、渴、烦、大便干等。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怕热、恶热、身热、高热、口渴欲饮、汗出而热、汗黏、心烦、谵语、口舌生疮、牙疼、尿黄、大便干、便秘、舌红、苔黄、脉数或洪。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黄疸、脓涕、痰黄、出血鲜红、皮肤红肿热痛、蹬被子、烦躁不眠。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里热常有热迫津液外出或耗津，所以可同时见汗多、口渴、津虚。若只见口苦咽干胸胁满，未必是里热，可能偏半热。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里寒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里部阳气不足或寒饮内停，功能沉衰，常见冷、利、痛、呕、脉微沉迟。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怕冷、四肢厥冷、腹痛喜温、胃冷、呕吐清水、下利清谷、便溏、口不渴或喜热饮、精神萎靡、脉沉迟微、舌淡水滑。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咳喘属寒饮、心下痞硬偏冷、腹中冷痛、肠鸣、食冷即不适、尿清长。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里寒常与里虚、水实并见。单见怕冷不一定是里寒，半表恶寒也怕冷；需看是否有胃肠冷利、脉沉微、舌淡水滑。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里虚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胃气、中焦、吸收转化功能不足，是津液、气血生成和恢复力不足的基础。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纳差、食少、吃一点就胀、胃弱、乏力、但欲寐、便溏、久病虚弱、脉软弱、舌淡嫩、容易呕、恢复慢。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口渴但水不化、津液不足、汗后虚、产后虚、腹中急痛、心下痞而不实。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里虚不是所有虚证。它更偏胃肠吸收和中焦生化。津虚、血虚可由里虚导致，但不等同于里虚。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水实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水饮、痰饮、湿、水毒停滞或排泄不利；可在表、半、里各层出现。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痰多、咳喘、短气、清嗓子、鼻涕多、浮肿、面肿、眼肿、下肢肿、小便不利、心悸、眩晕、身重、苔水滑或腻、脉滑或沉滑。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关节疼痛、皮肤水肿、黄疸、腹中水声、恶心呕吐、睡觉打呼噜、喝水少或水不化、腹满。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水实可造成口渴或不渴：停饮重时水不化津，外表看缺水，根子仍可有水实。需结合苔滑、脉滑、小便、痰饮、浮肿。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血虚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血液、营养、滋养不足，筋脉肌肉心神失养，常与津虚、里虚互相牵连。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面色淡、唇淡、头晕、心悸、失眠、麻木、抽筋、筋急、月经量少、闭经、产后虚、爪甲不荣、脉细。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腹痛拘急、虚性疼痛、眼干、皮肤干、健忘、虚劳、肌肉萎弱。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血虚和津虚都可干、虚、失养。血虚偏血色、月经、筋脉、心神；津虚偏口渴、咽干、舌少津、大便干。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气实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气机壅滞、上冲、逆满、不降，常表现为胀、满、冲、逆、咳喘。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胸闷、胸满、胸胁满、腹胀、胃胀、心下满、嗳气、打嗝、咽中如有物、气上冲、奔豚、咳逆上气、短气、鼓音。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头面冲胀、心悸、烦躁、胁痛、胸痛、呕逆、便秘伴胀满。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气实常与水实并见，水饮上逆也会短气、咳喘；气实抓“胀满冲逆”，水实抓“痰饮苔滑小便浮肿”。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血实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瘀血、血分实邪、血行不畅或血热瘀结，常见固定、暗紫、结块、刺痛。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舌紫暗、舌底静脉怒张、唇暗、固定刺痛、少腹硬满、腹中包块、结节、癥瘕、经血有块、痛经、皮肤斑疹、健忘、狂躁。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出血夹瘀、黄疸伴瘀、产后腹痛、跌打瘀肿、胸胁痛、局部红紫热痛。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血实不等于所有疼痛。固定、暗、硬、块、久、刺痛是抓手；气实疼痛多胀满走窜，水实疼痛多重着肿胀。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津虚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津液不足、阴液枯燥、组织失濡，常由热耗、汗吐下后、久病或胃吸收差导致。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口渴、咽干、唇干、皮肤干、大便干、小便少、舌红少津、舌干、烦渴、消渴、虚热、干咳少痰。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筋脉拘急、心烦失眠、眼干、便秘、盗汗后虚、热病后期虚弱。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口渴不一定就是津虚：里热可渴，水实水不化津也可渴。津虚重点看干燥、少津、耗伤、虚热和大便干。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津实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资料中很少直接以“津实”标注。可暂理解为津液输布壅滞、黏滞不化的状态，实际操作多并入水实或痰饮观察。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痰黏、涎多、口中黏腻、便黏、苔腻、分泌物黏稠、胸咽黏阻感。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口不渴或渴不欲饮、清嗓子、鼻涕黏、湿热黄浊分泌物。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  <w:t>若是水液停留、浮肿、小便不利，优先归水实；若是干燥少津，归津虚；津实建议作为程序里的辅助标签，不宜替代水实。</w:t>
            </w:r>
          </w:p>
        </w:tc>
      </w:tr>
    </w:tbl>
    <w:p>
      <w:r>
        <w:br w:type="page"/>
      </w:r>
    </w:p>
    <w:p>
      <w:pPr>
        <w:pStyle w:val="Heading1"/>
      </w:pPr>
      <w:r>
        <w:t>二、常见症状多归属矩阵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整理原则：</w:t>
            </w:r>
            <w:r>
              <w:rPr>
                <w:rFonts w:ascii="微软雅黑" w:hAnsi="微软雅黑" w:eastAsia="微软雅黑"/>
                <w:b w:val="0"/>
                <w:sz w:val="18"/>
              </w:rPr>
              <w:t>这一页用于程序设计和问诊追问：当一个症状同时指向多个病理时，不要直接定性，应结合舌脉、二便、寒热、饮水、胸腹、病程等信息追问。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2267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症状/体征</w:t>
            </w:r>
          </w:p>
        </w:tc>
        <w:tc>
          <w:tcPr>
            <w:tcW w:type="dxa" w:w="29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可能相关病理</w:t>
            </w:r>
          </w:p>
        </w:tc>
        <w:tc>
          <w:tcPr>
            <w:tcW w:type="dxa" w:w="8503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追问与鉴别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口渴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里热、津虚、水实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热盛可渴，津亏可渴，停饮水不化津也可渴。看舌津、大便、小便、苔滑与否。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发热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半表、半热、里热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半表多恶寒脉浮；半热多往来寒热胸胁孔窍；里热多恶热口渴汗出。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怕冷/恶寒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半表、里寒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半表恶寒多伴脉浮头项强痛；里寒怕冷多伴下利、腹冷、脉沉微。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汗出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半表、里热、津虚、半虚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表虚可汗出恶风；里热可热迫汗出；汗后伤津则津虚；虚性不固可半虚。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头痛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半表、半热、气实、血实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表证头项强痛；半热可目眩头痛；气上冲可头面胀；瘀血多固定刺痛。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咳喘/短气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水实、气实、半表、里寒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痰饮水逆、气机不降、表闭肺代偿、寒饮上逆都可咳喘。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胸胁满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半热、气实、水实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少阳胸胁苦满偏半热；胀满冲逆偏气实；伴痰饮悸眩苔滑偏水实。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腹胀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气实、里虚、里寒、里实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气滞可胀，胃弱食后胀属里虚，寒凝腹胀属里寒，便秘硬满属里实。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便秘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里热、气实、血实、津虚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热结、气滞、瘀结、津亏肠燥都可便秘，需看热象、胀满、瘀象、干燥程度。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鼻炎/鼻塞/脓涕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半表、半热、水实、里热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鼻塞可表；脓涕黄涕多热；涕多痰多苔滑多水实；反复孔窍炎症多半热。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心悸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水实、半虚、血虚、气实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停饮上扰可悸，虚性不安可悸，血不养心可悸，气上冲也可悸。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失眠多梦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半热、半虚、血虚、津虚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烦热扰心、虚性不安、血不养心、津亏虚热都可影响睡眠。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舌淡水滑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里寒、里虚、水实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淡为虚寒，水滑为水饮，若胃弱食少则兼里虚。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舌红苔黄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里热、半热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全身热盛便干口渴偏里热；口苦咽干胸胁孔窍偏半热。</w:t>
            </w:r>
          </w:p>
        </w:tc>
      </w:tr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舌底静脉怒张/唇暗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血实</w:t>
            </w:r>
          </w:p>
        </w:tc>
        <w:tc>
          <w:tcPr>
            <w:tcW w:type="dxa" w:w="85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典型瘀血抓手，也可与气实、水实、热结并见。</w:t>
            </w:r>
          </w:p>
        </w:tc>
      </w:tr>
    </w:tbl>
    <w:p>
      <w:pPr>
        <w:pStyle w:val="Heading1"/>
      </w:pPr>
      <w:r>
        <w:t>三、资料学习后的实现建议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283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建议</w:t>
            </w:r>
          </w:p>
        </w:tc>
        <w:tc>
          <w:tcPr>
            <w:tcW w:type="dxa" w:w="1088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症状字段不要单选病理</w:t>
            </w:r>
          </w:p>
        </w:tc>
        <w:tc>
          <w:tcPr>
            <w:tcW w:type="dxa" w:w="108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同一症状允许打到多个标签，例如口渴同时候选里热、津虚、水实，再由追问和舌脉降权或升权。</w:t>
            </w:r>
          </w:p>
        </w:tc>
      </w:tr>
      <w:tr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病理打分要保留证据</w:t>
            </w:r>
          </w:p>
        </w:tc>
        <w:tc>
          <w:tcPr>
            <w:tcW w:type="dxa" w:w="108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每个标签后面要保存原始症状证据，如“舌淡水滑→里寒/水实”，“胸胁苦满+口苦→半热”。</w:t>
            </w:r>
          </w:p>
        </w:tc>
      </w:tr>
      <w:tr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追问围绕分歧点</w:t>
            </w:r>
          </w:p>
        </w:tc>
        <w:tc>
          <w:tcPr>
            <w:tcW w:type="dxa" w:w="108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口渴时追问饮水量、喜冷喜热、小便、舌津；怕冷时追问是否脉浮头痛或腹冷下利。</w:t>
            </w:r>
          </w:p>
        </w:tc>
      </w:tr>
      <w:tr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先分层再分寒热虚实</w:t>
            </w:r>
          </w:p>
        </w:tc>
        <w:tc>
          <w:tcPr>
            <w:tcW w:type="dxa" w:w="108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先判断半表、半热、里，再判断热寒虚实、水血气津。这样比直接按现代病名推荐方剂更稳。</w:t>
            </w:r>
          </w:p>
        </w:tc>
      </w:tr>
      <w:tr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保留老师原体系词</w:t>
            </w:r>
          </w:p>
        </w:tc>
        <w:tc>
          <w:tcPr>
            <w:tcW w:type="dxa" w:w="108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6"/>
              </w:rPr>
              <w:t>资料里有表实、表虚、水虚、气虚、阴证、半寒等词，程序可保留为原始标签，再映射到十二字体系。</w:t>
            </w:r>
          </w:p>
        </w:tc>
      </w:tr>
    </w:tbl>
    <w:p>
      <w:pPr>
        <w:pStyle w:val="Heading1"/>
      </w:pPr>
      <w:r>
        <w:t>四、参考资料范围</w:t>
      </w:r>
    </w:p>
    <w:p>
      <w:r>
        <w:rPr>
          <w:rFonts w:ascii="微软雅黑" w:hAnsi="微软雅黑" w:eastAsia="微软雅黑"/>
          <w:b w:val="0"/>
          <w:color w:val="1F4D78"/>
          <w:sz w:val="17"/>
        </w:rPr>
        <w:t xml:space="preserve">• </w:t>
      </w:r>
      <w:r>
        <w:rPr>
          <w:rFonts w:ascii="微软雅黑" w:hAnsi="微软雅黑" w:eastAsia="微软雅黑"/>
          <w:b w:val="0"/>
          <w:sz w:val="17"/>
        </w:rPr>
        <w:t>《伤寒论-上册》胡希恕、李冠杰讲稿合订本-原文标注.docx / .txt</w:t>
      </w:r>
    </w:p>
    <w:p>
      <w:r>
        <w:rPr>
          <w:rFonts w:ascii="微软雅黑" w:hAnsi="微软雅黑" w:eastAsia="微软雅黑"/>
          <w:b w:val="0"/>
          <w:color w:val="1F4D78"/>
          <w:sz w:val="17"/>
        </w:rPr>
        <w:t xml:space="preserve">• </w:t>
      </w:r>
      <w:r>
        <w:rPr>
          <w:rFonts w:ascii="微软雅黑" w:hAnsi="微软雅黑" w:eastAsia="微软雅黑"/>
          <w:b w:val="0"/>
          <w:sz w:val="17"/>
        </w:rPr>
        <w:t>《伤寒论-下册》胡希恕、李冠杰讲稿合订本-原文标注.docx</w:t>
      </w:r>
    </w:p>
    <w:p>
      <w:r>
        <w:rPr>
          <w:rFonts w:ascii="微软雅黑" w:hAnsi="微软雅黑" w:eastAsia="微软雅黑"/>
          <w:b w:val="0"/>
          <w:color w:val="1F4D78"/>
          <w:sz w:val="17"/>
        </w:rPr>
        <w:t xml:space="preserve">• </w:t>
      </w:r>
      <w:r>
        <w:rPr>
          <w:rFonts w:ascii="微软雅黑" w:hAnsi="微软雅黑" w:eastAsia="微软雅黑"/>
          <w:b w:val="0"/>
          <w:sz w:val="17"/>
        </w:rPr>
        <w:t>《金匮要略》胡希恕、李冠杰讲稿合订本-条文标注.docx</w:t>
      </w:r>
    </w:p>
    <w:p>
      <w:r>
        <w:rPr>
          <w:rFonts w:ascii="微软雅黑" w:hAnsi="微软雅黑" w:eastAsia="微软雅黑"/>
          <w:b w:val="0"/>
          <w:color w:val="1F4D78"/>
          <w:sz w:val="17"/>
        </w:rPr>
        <w:t xml:space="preserve">• </w:t>
      </w:r>
      <w:r>
        <w:rPr>
          <w:rFonts w:ascii="微软雅黑" w:hAnsi="微软雅黑" w:eastAsia="微软雅黑"/>
          <w:b w:val="0"/>
          <w:sz w:val="17"/>
        </w:rPr>
        <w:t>李冠杰经方病理辨证体系经方药物集萃（目录)(1).docx</w:t>
      </w:r>
    </w:p>
    <w:p>
      <w:r>
        <w:rPr>
          <w:rFonts w:ascii="微软雅黑" w:hAnsi="微软雅黑" w:eastAsia="微软雅黑"/>
          <w:b w:val="0"/>
          <w:color w:val="1F4D78"/>
          <w:sz w:val="17"/>
        </w:rPr>
        <w:t xml:space="preserve">• </w:t>
      </w:r>
      <w:r>
        <w:rPr>
          <w:rFonts w:ascii="微软雅黑" w:hAnsi="微软雅黑" w:eastAsia="微软雅黑"/>
          <w:b w:val="0"/>
          <w:sz w:val="17"/>
        </w:rPr>
        <w:t>伤寒金匮方剂思维导图.reparsed.txt</w:t>
      </w:r>
    </w:p>
    <w:p>
      <w:r>
        <w:rPr>
          <w:rFonts w:ascii="微软雅黑" w:hAnsi="微软雅黑" w:eastAsia="微软雅黑"/>
          <w:b w:val="0"/>
          <w:color w:val="1F4D78"/>
          <w:sz w:val="17"/>
        </w:rPr>
        <w:t xml:space="preserve">• </w:t>
      </w:r>
      <w:r>
        <w:rPr>
          <w:rFonts w:ascii="微软雅黑" w:hAnsi="微软雅黑" w:eastAsia="微软雅黑"/>
          <w:b w:val="0"/>
          <w:sz w:val="17"/>
        </w:rPr>
        <w:t>AI学习医案.docx</w:t>
      </w:r>
    </w:p>
    <w:sectPr w:rsidR="00FC693F" w:rsidRPr="0006063C" w:rsidSect="00034616">
      <w:footerReference w:type="default" r:id="rId9"/>
      <w:pgSz w:w="15840" w:h="12240" w:orient="landscape"/>
      <w:pgMar w:top="737" w:right="709" w:bottom="73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>Codex 整理：用于中医智能问诊病理标签与追问逻辑设计。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